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E688F" w14:textId="0F60E2CD" w:rsidR="00342274" w:rsidRPr="00FB66F0" w:rsidRDefault="00DE0F8B" w:rsidP="00FB66F0">
      <w:pPr>
        <w:spacing w:line="360" w:lineRule="auto"/>
        <w:jc w:val="both"/>
        <w:rPr>
          <w:rFonts w:ascii="Times New Roman" w:hAnsi="Times New Roman" w:cs="Times New Roman"/>
          <w:sz w:val="22"/>
          <w:szCs w:val="22"/>
        </w:rPr>
      </w:pPr>
      <w:r w:rsidRPr="00FB66F0">
        <w:rPr>
          <w:rFonts w:ascii="Times New Roman" w:hAnsi="Times New Roman" w:cs="Times New Roman"/>
          <w:sz w:val="22"/>
          <w:szCs w:val="22"/>
        </w:rPr>
        <w:t>As aspiring public relations practitioners, understan</w:t>
      </w:r>
      <w:r w:rsidR="00673409" w:rsidRPr="00FB66F0">
        <w:rPr>
          <w:rFonts w:ascii="Times New Roman" w:hAnsi="Times New Roman" w:cs="Times New Roman"/>
          <w:sz w:val="22"/>
          <w:szCs w:val="22"/>
        </w:rPr>
        <w:t>ding the legal aspects that</w:t>
      </w:r>
      <w:r w:rsidRPr="00FB66F0">
        <w:rPr>
          <w:rFonts w:ascii="Times New Roman" w:hAnsi="Times New Roman" w:cs="Times New Roman"/>
          <w:sz w:val="22"/>
          <w:szCs w:val="22"/>
        </w:rPr>
        <w:t xml:space="preserve"> impact</w:t>
      </w:r>
      <w:r w:rsidR="00673409" w:rsidRPr="00FB66F0">
        <w:rPr>
          <w:rFonts w:ascii="Times New Roman" w:hAnsi="Times New Roman" w:cs="Times New Roman"/>
          <w:sz w:val="22"/>
          <w:szCs w:val="22"/>
        </w:rPr>
        <w:t>s</w:t>
      </w:r>
      <w:r w:rsidRPr="00FB66F0">
        <w:rPr>
          <w:rFonts w:ascii="Times New Roman" w:hAnsi="Times New Roman" w:cs="Times New Roman"/>
          <w:sz w:val="22"/>
          <w:szCs w:val="22"/>
        </w:rPr>
        <w:t xml:space="preserve"> one’s job </w:t>
      </w:r>
      <w:r w:rsidR="00AB7273" w:rsidRPr="00FB66F0">
        <w:rPr>
          <w:rFonts w:ascii="Times New Roman" w:hAnsi="Times New Roman" w:cs="Times New Roman"/>
          <w:sz w:val="22"/>
          <w:szCs w:val="22"/>
        </w:rPr>
        <w:t xml:space="preserve">is </w:t>
      </w:r>
      <w:r w:rsidR="004F7BF3" w:rsidRPr="00FB66F0">
        <w:rPr>
          <w:rFonts w:ascii="Times New Roman" w:hAnsi="Times New Roman" w:cs="Times New Roman"/>
          <w:sz w:val="22"/>
          <w:szCs w:val="22"/>
        </w:rPr>
        <w:t>essential to being successful</w:t>
      </w:r>
      <w:r w:rsidRPr="00FB66F0">
        <w:rPr>
          <w:rFonts w:ascii="Times New Roman" w:hAnsi="Times New Roman" w:cs="Times New Roman"/>
          <w:sz w:val="22"/>
          <w:szCs w:val="22"/>
        </w:rPr>
        <w:t xml:space="preserve">. </w:t>
      </w:r>
      <w:r w:rsidR="004F7BF3" w:rsidRPr="00FB66F0">
        <w:rPr>
          <w:rFonts w:ascii="Times New Roman" w:hAnsi="Times New Roman" w:cs="Times New Roman"/>
          <w:sz w:val="22"/>
          <w:szCs w:val="22"/>
        </w:rPr>
        <w:t>O</w:t>
      </w:r>
      <w:r w:rsidRPr="00FB66F0">
        <w:rPr>
          <w:rFonts w:ascii="Times New Roman" w:hAnsi="Times New Roman" w:cs="Times New Roman"/>
          <w:sz w:val="22"/>
          <w:szCs w:val="22"/>
        </w:rPr>
        <w:t xml:space="preserve">ne of the most important and influential laws to understand </w:t>
      </w:r>
      <w:r w:rsidR="00673409" w:rsidRPr="00FB66F0">
        <w:rPr>
          <w:rFonts w:ascii="Times New Roman" w:hAnsi="Times New Roman" w:cs="Times New Roman"/>
          <w:sz w:val="22"/>
          <w:szCs w:val="22"/>
        </w:rPr>
        <w:t xml:space="preserve">is </w:t>
      </w:r>
      <w:r w:rsidR="001E3B4A" w:rsidRPr="00FB66F0">
        <w:rPr>
          <w:rFonts w:ascii="Times New Roman" w:hAnsi="Times New Roman" w:cs="Times New Roman"/>
          <w:sz w:val="22"/>
          <w:szCs w:val="22"/>
        </w:rPr>
        <w:t>defamation</w:t>
      </w:r>
      <w:r w:rsidR="004F7BF3" w:rsidRPr="00FB66F0">
        <w:rPr>
          <w:rFonts w:ascii="Times New Roman" w:hAnsi="Times New Roman" w:cs="Times New Roman"/>
          <w:sz w:val="22"/>
          <w:szCs w:val="22"/>
        </w:rPr>
        <w:t xml:space="preserve">, where the Defamation Act of 2013 explains it as </w:t>
      </w:r>
      <w:r w:rsidR="00855FF4" w:rsidRPr="00FB66F0">
        <w:rPr>
          <w:rFonts w:ascii="Times New Roman" w:hAnsi="Times New Roman" w:cs="Times New Roman"/>
          <w:sz w:val="22"/>
          <w:szCs w:val="22"/>
        </w:rPr>
        <w:t>“</w:t>
      </w:r>
      <w:r w:rsidR="004F7BF3" w:rsidRPr="00FB66F0">
        <w:rPr>
          <w:rFonts w:ascii="Times New Roman" w:hAnsi="Times New Roman" w:cs="Times New Roman"/>
          <w:sz w:val="22"/>
          <w:szCs w:val="22"/>
        </w:rPr>
        <w:t>a</w:t>
      </w:r>
      <w:r w:rsidR="00F204B9" w:rsidRPr="00FB66F0">
        <w:rPr>
          <w:rFonts w:ascii="Times New Roman" w:hAnsi="Times New Roman" w:cs="Times New Roman"/>
          <w:sz w:val="22"/>
          <w:szCs w:val="22"/>
        </w:rPr>
        <w:t xml:space="preserve"> publication</w:t>
      </w:r>
      <w:r w:rsidR="004F7BF3" w:rsidRPr="00FB66F0">
        <w:rPr>
          <w:rFonts w:ascii="Times New Roman" w:hAnsi="Times New Roman" w:cs="Times New Roman"/>
          <w:sz w:val="22"/>
          <w:szCs w:val="22"/>
        </w:rPr>
        <w:t xml:space="preserve"> that</w:t>
      </w:r>
      <w:r w:rsidR="00F204B9" w:rsidRPr="00FB66F0">
        <w:rPr>
          <w:rFonts w:ascii="Times New Roman" w:hAnsi="Times New Roman" w:cs="Times New Roman"/>
          <w:sz w:val="22"/>
          <w:szCs w:val="22"/>
        </w:rPr>
        <w:t xml:space="preserve"> has caused or is likely to</w:t>
      </w:r>
      <w:r w:rsidR="00C77D78" w:rsidRPr="00FB66F0">
        <w:rPr>
          <w:rFonts w:ascii="Times New Roman" w:hAnsi="Times New Roman" w:cs="Times New Roman"/>
          <w:sz w:val="22"/>
          <w:szCs w:val="22"/>
        </w:rPr>
        <w:t xml:space="preserve"> [or has a tendency to]</w:t>
      </w:r>
      <w:r w:rsidR="00F204B9" w:rsidRPr="00FB66F0">
        <w:rPr>
          <w:rFonts w:ascii="Times New Roman" w:hAnsi="Times New Roman" w:cs="Times New Roman"/>
          <w:sz w:val="22"/>
          <w:szCs w:val="22"/>
        </w:rPr>
        <w:t xml:space="preserve"> cause serious harm to the </w:t>
      </w:r>
      <w:r w:rsidR="004F7BF3" w:rsidRPr="00FB66F0">
        <w:rPr>
          <w:rFonts w:ascii="Times New Roman" w:hAnsi="Times New Roman" w:cs="Times New Roman"/>
          <w:sz w:val="22"/>
          <w:szCs w:val="22"/>
        </w:rPr>
        <w:t>reputation of the claiman</w:t>
      </w:r>
      <w:r w:rsidR="00D62519" w:rsidRPr="00FB66F0">
        <w:rPr>
          <w:rFonts w:ascii="Times New Roman" w:hAnsi="Times New Roman" w:cs="Times New Roman"/>
          <w:sz w:val="22"/>
          <w:szCs w:val="22"/>
        </w:rPr>
        <w:t>t</w:t>
      </w:r>
      <w:r w:rsidR="004F7BF3" w:rsidRPr="00FB66F0">
        <w:rPr>
          <w:rFonts w:ascii="Times New Roman" w:hAnsi="Times New Roman" w:cs="Times New Roman"/>
          <w:sz w:val="22"/>
          <w:szCs w:val="22"/>
        </w:rPr>
        <w:t xml:space="preserve">” </w:t>
      </w:r>
      <w:r w:rsidR="005445B0" w:rsidRPr="00FB66F0">
        <w:rPr>
          <w:rFonts w:ascii="Times New Roman" w:hAnsi="Times New Roman" w:cs="Times New Roman"/>
          <w:sz w:val="22"/>
          <w:szCs w:val="22"/>
        </w:rPr>
        <w:t>(</w:t>
      </w:r>
      <w:r w:rsidR="00F204B9" w:rsidRPr="00FB66F0">
        <w:rPr>
          <w:rFonts w:ascii="Times New Roman" w:hAnsi="Times New Roman" w:cs="Times New Roman"/>
          <w:i/>
          <w:sz w:val="22"/>
          <w:szCs w:val="22"/>
        </w:rPr>
        <w:t xml:space="preserve">Defamation Guidance </w:t>
      </w:r>
      <w:r w:rsidR="00F204B9" w:rsidRPr="00FB66F0">
        <w:rPr>
          <w:rFonts w:ascii="Times New Roman" w:hAnsi="Times New Roman" w:cs="Times New Roman"/>
          <w:sz w:val="22"/>
          <w:szCs w:val="22"/>
        </w:rPr>
        <w:t>Notes, 2018).</w:t>
      </w:r>
      <w:r w:rsidR="00DC10CD" w:rsidRPr="00FB66F0">
        <w:rPr>
          <w:rFonts w:ascii="Times New Roman" w:hAnsi="Times New Roman" w:cs="Times New Roman"/>
          <w:sz w:val="22"/>
          <w:szCs w:val="22"/>
        </w:rPr>
        <w:t xml:space="preserve"> </w:t>
      </w:r>
      <w:r w:rsidR="00D62519" w:rsidRPr="00FB66F0">
        <w:rPr>
          <w:rFonts w:ascii="Times New Roman" w:hAnsi="Times New Roman" w:cs="Times New Roman"/>
          <w:sz w:val="22"/>
          <w:szCs w:val="22"/>
        </w:rPr>
        <w:t xml:space="preserve">This reputation is presumed to be good, and has value. </w:t>
      </w:r>
      <w:r w:rsidR="00342274" w:rsidRPr="00FB66F0">
        <w:rPr>
          <w:rFonts w:ascii="Times New Roman" w:hAnsi="Times New Roman" w:cs="Times New Roman"/>
          <w:sz w:val="22"/>
          <w:szCs w:val="22"/>
        </w:rPr>
        <w:t>In order to understand the different principles of the defamation laws, one must look at the perspectives of both claimant and defendant. In doing so, a public relations practitioner will not only better understand defamation, but understand why it is important know.</w:t>
      </w:r>
    </w:p>
    <w:p w14:paraId="5E0C8A3E" w14:textId="77777777" w:rsidR="00342274" w:rsidRPr="00FB66F0" w:rsidRDefault="00342274" w:rsidP="00FB66F0">
      <w:pPr>
        <w:spacing w:line="360" w:lineRule="auto"/>
        <w:jc w:val="both"/>
        <w:rPr>
          <w:rFonts w:ascii="Times New Roman" w:hAnsi="Times New Roman" w:cs="Times New Roman"/>
          <w:sz w:val="22"/>
          <w:szCs w:val="22"/>
        </w:rPr>
      </w:pPr>
    </w:p>
    <w:p w14:paraId="05A753EA" w14:textId="1A7CFAF7" w:rsidR="00DE0F8B" w:rsidRPr="00FB66F0" w:rsidRDefault="00342274" w:rsidP="00FB66F0">
      <w:pPr>
        <w:spacing w:line="360" w:lineRule="auto"/>
        <w:jc w:val="both"/>
        <w:rPr>
          <w:rFonts w:ascii="Times New Roman" w:hAnsi="Times New Roman" w:cs="Times New Roman"/>
          <w:sz w:val="22"/>
          <w:szCs w:val="22"/>
        </w:rPr>
      </w:pPr>
      <w:r w:rsidRPr="00FB66F0">
        <w:rPr>
          <w:rFonts w:ascii="Times New Roman" w:hAnsi="Times New Roman" w:cs="Times New Roman"/>
          <w:sz w:val="22"/>
          <w:szCs w:val="22"/>
        </w:rPr>
        <w:t xml:space="preserve">Before explaining defamation from the claimant’s perspective, it is pertinent to establish that there are different ways a defamatory statement can take place. </w:t>
      </w:r>
      <w:r w:rsidR="001753D4" w:rsidRPr="00FB66F0">
        <w:rPr>
          <w:rFonts w:ascii="Times New Roman" w:hAnsi="Times New Roman" w:cs="Times New Roman"/>
          <w:sz w:val="22"/>
          <w:szCs w:val="22"/>
        </w:rPr>
        <w:t>Quinn explains that there are multiple types of platforms a defamatory statement can be published, such as: printed; broadcast on television or radio</w:t>
      </w:r>
      <w:r w:rsidR="00223515" w:rsidRPr="00FB66F0">
        <w:rPr>
          <w:rStyle w:val="FootnoteReference"/>
          <w:rFonts w:ascii="Times New Roman" w:hAnsi="Times New Roman" w:cs="Times New Roman"/>
          <w:sz w:val="22"/>
          <w:szCs w:val="22"/>
        </w:rPr>
        <w:footnoteReference w:id="1"/>
      </w:r>
      <w:r w:rsidR="002B47F3">
        <w:rPr>
          <w:rFonts w:ascii="Times New Roman" w:hAnsi="Times New Roman" w:cs="Times New Roman"/>
          <w:sz w:val="22"/>
          <w:szCs w:val="22"/>
        </w:rPr>
        <w:t>; film or</w:t>
      </w:r>
      <w:r w:rsidR="001753D4" w:rsidRPr="00FB66F0">
        <w:rPr>
          <w:rFonts w:ascii="Times New Roman" w:hAnsi="Times New Roman" w:cs="Times New Roman"/>
          <w:sz w:val="22"/>
          <w:szCs w:val="22"/>
        </w:rPr>
        <w:t xml:space="preserve"> video; internet; public performances </w:t>
      </w:r>
      <w:r w:rsidR="00D651D3" w:rsidRPr="00FB66F0">
        <w:rPr>
          <w:rFonts w:ascii="Times New Roman" w:hAnsi="Times New Roman" w:cs="Times New Roman"/>
          <w:sz w:val="22"/>
          <w:szCs w:val="22"/>
        </w:rPr>
        <w:t>of a play</w:t>
      </w:r>
      <w:r w:rsidR="00223515" w:rsidRPr="00FB66F0">
        <w:rPr>
          <w:rStyle w:val="FootnoteReference"/>
          <w:rFonts w:ascii="Times New Roman" w:hAnsi="Times New Roman" w:cs="Times New Roman"/>
          <w:sz w:val="22"/>
          <w:szCs w:val="22"/>
        </w:rPr>
        <w:footnoteReference w:id="2"/>
      </w:r>
      <w:r w:rsidR="00B819E4" w:rsidRPr="00FB66F0">
        <w:rPr>
          <w:rFonts w:ascii="Times New Roman" w:hAnsi="Times New Roman" w:cs="Times New Roman"/>
          <w:sz w:val="22"/>
          <w:szCs w:val="22"/>
        </w:rPr>
        <w:t xml:space="preserve"> (2018, p. 206)</w:t>
      </w:r>
      <w:r w:rsidR="001753D4" w:rsidRPr="00FB66F0">
        <w:rPr>
          <w:rFonts w:ascii="Times New Roman" w:hAnsi="Times New Roman" w:cs="Times New Roman"/>
          <w:sz w:val="22"/>
          <w:szCs w:val="22"/>
        </w:rPr>
        <w:t xml:space="preserve">. It is important to understand that when dealing with defamation lawsuits, </w:t>
      </w:r>
      <w:r w:rsidR="0052027D" w:rsidRPr="00FB66F0">
        <w:rPr>
          <w:rFonts w:ascii="Times New Roman" w:hAnsi="Times New Roman" w:cs="Times New Roman"/>
          <w:sz w:val="22"/>
          <w:szCs w:val="22"/>
        </w:rPr>
        <w:t xml:space="preserve">there are many grey areas since </w:t>
      </w:r>
      <w:r w:rsidR="001753D4" w:rsidRPr="00FB66F0">
        <w:rPr>
          <w:rFonts w:ascii="Times New Roman" w:hAnsi="Times New Roman" w:cs="Times New Roman"/>
          <w:sz w:val="22"/>
          <w:szCs w:val="22"/>
        </w:rPr>
        <w:t xml:space="preserve">the claimant does not need to be </w:t>
      </w:r>
      <w:r w:rsidR="00E96CEB" w:rsidRPr="00FB66F0">
        <w:rPr>
          <w:rFonts w:ascii="Times New Roman" w:hAnsi="Times New Roman" w:cs="Times New Roman"/>
          <w:sz w:val="22"/>
          <w:szCs w:val="22"/>
        </w:rPr>
        <w:t>directly named</w:t>
      </w:r>
      <w:r w:rsidR="001753D4" w:rsidRPr="00FB66F0">
        <w:rPr>
          <w:rFonts w:ascii="Times New Roman" w:hAnsi="Times New Roman" w:cs="Times New Roman"/>
          <w:sz w:val="22"/>
          <w:szCs w:val="22"/>
        </w:rPr>
        <w:t>, but</w:t>
      </w:r>
      <w:r w:rsidR="0052027D" w:rsidRPr="00FB66F0">
        <w:rPr>
          <w:rFonts w:ascii="Times New Roman" w:hAnsi="Times New Roman" w:cs="Times New Roman"/>
          <w:sz w:val="22"/>
          <w:szCs w:val="22"/>
        </w:rPr>
        <w:t xml:space="preserve"> still</w:t>
      </w:r>
      <w:r w:rsidR="001753D4" w:rsidRPr="00FB66F0">
        <w:rPr>
          <w:rFonts w:ascii="Times New Roman" w:hAnsi="Times New Roman" w:cs="Times New Roman"/>
          <w:sz w:val="22"/>
          <w:szCs w:val="22"/>
        </w:rPr>
        <w:t xml:space="preserve"> needs to be identifiable. </w:t>
      </w:r>
      <w:r w:rsidR="0052027D" w:rsidRPr="00FB66F0">
        <w:rPr>
          <w:rFonts w:ascii="Times New Roman" w:hAnsi="Times New Roman" w:cs="Times New Roman"/>
          <w:sz w:val="22"/>
          <w:szCs w:val="22"/>
        </w:rPr>
        <w:t>U</w:t>
      </w:r>
      <w:r w:rsidR="00FB62F1" w:rsidRPr="00FB66F0">
        <w:rPr>
          <w:rFonts w:ascii="Times New Roman" w:hAnsi="Times New Roman" w:cs="Times New Roman"/>
          <w:sz w:val="22"/>
          <w:szCs w:val="22"/>
        </w:rPr>
        <w:t xml:space="preserve">nderstanding </w:t>
      </w:r>
      <w:r w:rsidR="0052027D" w:rsidRPr="00FB66F0">
        <w:rPr>
          <w:rFonts w:ascii="Times New Roman" w:hAnsi="Times New Roman" w:cs="Times New Roman"/>
          <w:sz w:val="22"/>
          <w:szCs w:val="22"/>
        </w:rPr>
        <w:t xml:space="preserve">this will be important </w:t>
      </w:r>
      <w:r w:rsidR="007A44D4" w:rsidRPr="00FB66F0">
        <w:rPr>
          <w:rFonts w:ascii="Times New Roman" w:hAnsi="Times New Roman" w:cs="Times New Roman"/>
          <w:sz w:val="22"/>
          <w:szCs w:val="22"/>
        </w:rPr>
        <w:t>as it will help prevent the publication of any potentially defamatory statement, and will aid when deciding whether to file a defamatory lawsuit.</w:t>
      </w:r>
      <w:bookmarkStart w:id="0" w:name="_GoBack"/>
      <w:bookmarkEnd w:id="0"/>
    </w:p>
    <w:p w14:paraId="7F4AE230" w14:textId="77777777" w:rsidR="00DE0F8B" w:rsidRPr="00FB66F0" w:rsidRDefault="00DE0F8B" w:rsidP="00FB66F0">
      <w:pPr>
        <w:spacing w:line="360" w:lineRule="auto"/>
        <w:jc w:val="both"/>
        <w:rPr>
          <w:rFonts w:ascii="Times New Roman" w:hAnsi="Times New Roman" w:cs="Times New Roman"/>
          <w:sz w:val="22"/>
          <w:szCs w:val="22"/>
        </w:rPr>
      </w:pPr>
    </w:p>
    <w:p w14:paraId="4E18B27D" w14:textId="37391F99" w:rsidR="007A44D4" w:rsidRPr="00FB66F0" w:rsidRDefault="00F7049B" w:rsidP="00FB66F0">
      <w:pPr>
        <w:spacing w:line="360" w:lineRule="auto"/>
        <w:jc w:val="both"/>
        <w:rPr>
          <w:rFonts w:ascii="Times New Roman" w:hAnsi="Times New Roman" w:cs="Times New Roman"/>
          <w:sz w:val="22"/>
          <w:szCs w:val="22"/>
        </w:rPr>
      </w:pPr>
      <w:r w:rsidRPr="00FB66F0">
        <w:rPr>
          <w:rFonts w:ascii="Times New Roman" w:hAnsi="Times New Roman" w:cs="Times New Roman"/>
          <w:sz w:val="22"/>
          <w:szCs w:val="22"/>
        </w:rPr>
        <w:t xml:space="preserve">For any defamation lawsuits, there are two sides that must be </w:t>
      </w:r>
      <w:r w:rsidR="008E6C0E" w:rsidRPr="00FB66F0">
        <w:rPr>
          <w:rFonts w:ascii="Times New Roman" w:hAnsi="Times New Roman" w:cs="Times New Roman"/>
          <w:sz w:val="22"/>
          <w:szCs w:val="22"/>
        </w:rPr>
        <w:t>analyzed</w:t>
      </w:r>
      <w:r w:rsidRPr="00FB66F0">
        <w:rPr>
          <w:rFonts w:ascii="Times New Roman" w:hAnsi="Times New Roman" w:cs="Times New Roman"/>
          <w:sz w:val="22"/>
          <w:szCs w:val="22"/>
        </w:rPr>
        <w:t xml:space="preserve"> in order to</w:t>
      </w:r>
      <w:r w:rsidR="00526808" w:rsidRPr="00FB66F0">
        <w:rPr>
          <w:rFonts w:ascii="Times New Roman" w:hAnsi="Times New Roman" w:cs="Times New Roman"/>
          <w:sz w:val="22"/>
          <w:szCs w:val="22"/>
        </w:rPr>
        <w:t xml:space="preserve"> even</w:t>
      </w:r>
      <w:r w:rsidRPr="00FB66F0">
        <w:rPr>
          <w:rFonts w:ascii="Times New Roman" w:hAnsi="Times New Roman" w:cs="Times New Roman"/>
          <w:sz w:val="22"/>
          <w:szCs w:val="22"/>
        </w:rPr>
        <w:t xml:space="preserve"> </w:t>
      </w:r>
      <w:r w:rsidR="00526808" w:rsidRPr="00FB66F0">
        <w:rPr>
          <w:rFonts w:ascii="Times New Roman" w:hAnsi="Times New Roman" w:cs="Times New Roman"/>
          <w:sz w:val="22"/>
          <w:szCs w:val="22"/>
        </w:rPr>
        <w:t xml:space="preserve">begin </w:t>
      </w:r>
      <w:r w:rsidRPr="00FB66F0">
        <w:rPr>
          <w:rFonts w:ascii="Times New Roman" w:hAnsi="Times New Roman" w:cs="Times New Roman"/>
          <w:sz w:val="22"/>
          <w:szCs w:val="22"/>
        </w:rPr>
        <w:t>understand</w:t>
      </w:r>
      <w:r w:rsidR="00526808" w:rsidRPr="00FB66F0">
        <w:rPr>
          <w:rFonts w:ascii="Times New Roman" w:hAnsi="Times New Roman" w:cs="Times New Roman"/>
          <w:sz w:val="22"/>
          <w:szCs w:val="22"/>
        </w:rPr>
        <w:t>ing</w:t>
      </w:r>
      <w:r w:rsidRPr="00FB66F0">
        <w:rPr>
          <w:rFonts w:ascii="Times New Roman" w:hAnsi="Times New Roman" w:cs="Times New Roman"/>
          <w:sz w:val="22"/>
          <w:szCs w:val="22"/>
        </w:rPr>
        <w:t xml:space="preserve"> </w:t>
      </w:r>
      <w:r w:rsidR="009A2799" w:rsidRPr="00FB66F0">
        <w:rPr>
          <w:rFonts w:ascii="Times New Roman" w:hAnsi="Times New Roman" w:cs="Times New Roman"/>
          <w:sz w:val="22"/>
          <w:szCs w:val="22"/>
        </w:rPr>
        <w:t xml:space="preserve">this </w:t>
      </w:r>
      <w:r w:rsidR="00526808" w:rsidRPr="00FB66F0">
        <w:rPr>
          <w:rFonts w:ascii="Times New Roman" w:hAnsi="Times New Roman" w:cs="Times New Roman"/>
          <w:sz w:val="22"/>
          <w:szCs w:val="22"/>
        </w:rPr>
        <w:t xml:space="preserve">complex </w:t>
      </w:r>
      <w:r w:rsidR="009A2799" w:rsidRPr="00FB66F0">
        <w:rPr>
          <w:rFonts w:ascii="Times New Roman" w:hAnsi="Times New Roman" w:cs="Times New Roman"/>
          <w:sz w:val="22"/>
          <w:szCs w:val="22"/>
        </w:rPr>
        <w:t xml:space="preserve">law. First will be the point of view of the claimant. Before one claims (or files) a defamation lawsuit, one must understand what the implications of harm </w:t>
      </w:r>
      <w:r w:rsidR="00971726" w:rsidRPr="00FB66F0">
        <w:rPr>
          <w:rFonts w:ascii="Times New Roman" w:hAnsi="Times New Roman" w:cs="Times New Roman"/>
          <w:sz w:val="22"/>
          <w:szCs w:val="22"/>
        </w:rPr>
        <w:t>and</w:t>
      </w:r>
      <w:r w:rsidR="00F52F73" w:rsidRPr="00FB66F0">
        <w:rPr>
          <w:rFonts w:ascii="Times New Roman" w:hAnsi="Times New Roman" w:cs="Times New Roman"/>
          <w:sz w:val="22"/>
          <w:szCs w:val="22"/>
        </w:rPr>
        <w:t xml:space="preserve"> serious harm</w:t>
      </w:r>
      <w:r w:rsidR="009A2799" w:rsidRPr="00FB66F0">
        <w:rPr>
          <w:rFonts w:ascii="Times New Roman" w:hAnsi="Times New Roman" w:cs="Times New Roman"/>
          <w:sz w:val="22"/>
          <w:szCs w:val="22"/>
        </w:rPr>
        <w:t>.</w:t>
      </w:r>
      <w:r w:rsidR="005A62E2" w:rsidRPr="00FB66F0">
        <w:rPr>
          <w:rFonts w:ascii="Times New Roman" w:hAnsi="Times New Roman" w:cs="Times New Roman"/>
          <w:sz w:val="22"/>
          <w:szCs w:val="22"/>
        </w:rPr>
        <w:t xml:space="preserve"> </w:t>
      </w:r>
      <w:r w:rsidR="00F52F73" w:rsidRPr="00FB66F0">
        <w:rPr>
          <w:rFonts w:ascii="Times New Roman" w:hAnsi="Times New Roman" w:cs="Times New Roman"/>
          <w:sz w:val="22"/>
          <w:szCs w:val="22"/>
        </w:rPr>
        <w:t xml:space="preserve">The 2017 Court of Appeal explains the ‘serious harm’ should be </w:t>
      </w:r>
      <w:r w:rsidR="003E3CA5" w:rsidRPr="00FB66F0">
        <w:rPr>
          <w:rFonts w:ascii="Times New Roman" w:hAnsi="Times New Roman" w:cs="Times New Roman"/>
          <w:sz w:val="22"/>
          <w:szCs w:val="22"/>
        </w:rPr>
        <w:t>a statement that causes substantial reputational damage, and crosses the ‘threshold of seriousness’</w:t>
      </w:r>
      <w:r w:rsidR="00971726" w:rsidRPr="00FB66F0">
        <w:rPr>
          <w:rFonts w:ascii="Times New Roman" w:hAnsi="Times New Roman" w:cs="Times New Roman"/>
          <w:sz w:val="22"/>
          <w:szCs w:val="22"/>
        </w:rPr>
        <w:t xml:space="preserve"> (</w:t>
      </w:r>
      <w:r w:rsidR="003E3CA5" w:rsidRPr="00FB66F0">
        <w:rPr>
          <w:rFonts w:ascii="Times New Roman" w:hAnsi="Times New Roman" w:cs="Times New Roman"/>
          <w:i/>
          <w:sz w:val="22"/>
          <w:szCs w:val="22"/>
        </w:rPr>
        <w:t xml:space="preserve">Guidance </w:t>
      </w:r>
      <w:r w:rsidR="003E3CA5" w:rsidRPr="00FB66F0">
        <w:rPr>
          <w:rFonts w:ascii="Times New Roman" w:hAnsi="Times New Roman" w:cs="Times New Roman"/>
          <w:sz w:val="22"/>
          <w:szCs w:val="22"/>
        </w:rPr>
        <w:t xml:space="preserve">Notes 2018). </w:t>
      </w:r>
      <w:r w:rsidR="005E1301" w:rsidRPr="00FB66F0">
        <w:rPr>
          <w:rFonts w:ascii="Times New Roman" w:hAnsi="Times New Roman" w:cs="Times New Roman"/>
          <w:sz w:val="22"/>
          <w:szCs w:val="22"/>
        </w:rPr>
        <w:t xml:space="preserve">Bloy explains that the </w:t>
      </w:r>
      <w:r w:rsidR="004D325B" w:rsidRPr="00FB66F0">
        <w:rPr>
          <w:rFonts w:ascii="Times New Roman" w:hAnsi="Times New Roman" w:cs="Times New Roman"/>
          <w:sz w:val="22"/>
          <w:szCs w:val="22"/>
        </w:rPr>
        <w:t>Court of Appeal has identified two different approaches, with the first being “that the words used are in themselves enough for claimants to conclude that serious harm has been caused” (</w:t>
      </w:r>
      <w:r w:rsidR="00971726" w:rsidRPr="00FB66F0">
        <w:rPr>
          <w:rFonts w:ascii="Times New Roman" w:hAnsi="Times New Roman" w:cs="Times New Roman"/>
          <w:i/>
          <w:sz w:val="22"/>
          <w:szCs w:val="22"/>
        </w:rPr>
        <w:t>Guidance Notes</w:t>
      </w:r>
      <w:r w:rsidR="00971726" w:rsidRPr="00FB66F0">
        <w:rPr>
          <w:rFonts w:ascii="Times New Roman" w:hAnsi="Times New Roman" w:cs="Times New Roman"/>
          <w:sz w:val="22"/>
          <w:szCs w:val="22"/>
        </w:rPr>
        <w:t xml:space="preserve">, </w:t>
      </w:r>
      <w:r w:rsidR="004D325B" w:rsidRPr="00FB66F0">
        <w:rPr>
          <w:rFonts w:ascii="Times New Roman" w:hAnsi="Times New Roman" w:cs="Times New Roman"/>
          <w:sz w:val="22"/>
          <w:szCs w:val="22"/>
        </w:rPr>
        <w:t>2018). Bloy continues that Mr Justice Bean suggested in 2014 that words such as ‘terrorist’ and ‘</w:t>
      </w:r>
      <w:r w:rsidR="00F13DE3" w:rsidRPr="00FB66F0">
        <w:rPr>
          <w:rFonts w:ascii="Times New Roman" w:hAnsi="Times New Roman" w:cs="Times New Roman"/>
          <w:sz w:val="22"/>
          <w:szCs w:val="22"/>
        </w:rPr>
        <w:t>pedophile</w:t>
      </w:r>
      <w:r w:rsidR="004D325B" w:rsidRPr="00FB66F0">
        <w:rPr>
          <w:rFonts w:ascii="Times New Roman" w:hAnsi="Times New Roman" w:cs="Times New Roman"/>
          <w:sz w:val="22"/>
          <w:szCs w:val="22"/>
        </w:rPr>
        <w:t>’ (as well rapists [</w:t>
      </w:r>
      <w:r w:rsidR="004D325B" w:rsidRPr="00FB66F0">
        <w:rPr>
          <w:rFonts w:ascii="Times New Roman" w:hAnsi="Times New Roman" w:cs="Times New Roman"/>
          <w:i/>
          <w:sz w:val="22"/>
          <w:szCs w:val="22"/>
        </w:rPr>
        <w:t>lecture notes</w:t>
      </w:r>
      <w:r w:rsidR="004D325B" w:rsidRPr="00FB66F0">
        <w:rPr>
          <w:rFonts w:ascii="Times New Roman" w:hAnsi="Times New Roman" w:cs="Times New Roman"/>
          <w:sz w:val="22"/>
          <w:szCs w:val="22"/>
        </w:rPr>
        <w:t>, 2018]) would cause people to shun and avoid the claimant and thus reputational damage has been caused (</w:t>
      </w:r>
      <w:r w:rsidR="004D325B" w:rsidRPr="00FB66F0">
        <w:rPr>
          <w:rFonts w:ascii="Times New Roman" w:hAnsi="Times New Roman" w:cs="Times New Roman"/>
          <w:i/>
          <w:sz w:val="22"/>
          <w:szCs w:val="22"/>
        </w:rPr>
        <w:t>guidance notes</w:t>
      </w:r>
      <w:r w:rsidR="004D325B" w:rsidRPr="00FB66F0">
        <w:rPr>
          <w:rFonts w:ascii="Times New Roman" w:hAnsi="Times New Roman" w:cs="Times New Roman"/>
          <w:sz w:val="22"/>
          <w:szCs w:val="22"/>
        </w:rPr>
        <w:t xml:space="preserve">, 2018). The second approach identified was </w:t>
      </w:r>
      <w:r w:rsidR="00F13DE3" w:rsidRPr="00FB66F0">
        <w:rPr>
          <w:rFonts w:ascii="Times New Roman" w:hAnsi="Times New Roman" w:cs="Times New Roman"/>
          <w:sz w:val="22"/>
          <w:szCs w:val="22"/>
        </w:rPr>
        <w:t>the claimant</w:t>
      </w:r>
      <w:r w:rsidR="00D9293F" w:rsidRPr="00FB66F0">
        <w:rPr>
          <w:rFonts w:ascii="Times New Roman" w:hAnsi="Times New Roman" w:cs="Times New Roman"/>
          <w:sz w:val="22"/>
          <w:szCs w:val="22"/>
        </w:rPr>
        <w:t xml:space="preserve"> needing to</w:t>
      </w:r>
      <w:r w:rsidR="00F13DE3" w:rsidRPr="00FB66F0">
        <w:rPr>
          <w:rFonts w:ascii="Times New Roman" w:hAnsi="Times New Roman" w:cs="Times New Roman"/>
          <w:sz w:val="22"/>
          <w:szCs w:val="22"/>
        </w:rPr>
        <w:t xml:space="preserve"> </w:t>
      </w:r>
      <w:r w:rsidR="00341C7B" w:rsidRPr="00FB66F0">
        <w:rPr>
          <w:rFonts w:ascii="Times New Roman" w:hAnsi="Times New Roman" w:cs="Times New Roman"/>
          <w:sz w:val="22"/>
          <w:szCs w:val="22"/>
        </w:rPr>
        <w:t>bring</w:t>
      </w:r>
      <w:r w:rsidR="00F13DE3" w:rsidRPr="00FB66F0">
        <w:rPr>
          <w:rFonts w:ascii="Times New Roman" w:hAnsi="Times New Roman" w:cs="Times New Roman"/>
          <w:sz w:val="22"/>
          <w:szCs w:val="22"/>
        </w:rPr>
        <w:t xml:space="preserve"> forward evidence </w:t>
      </w:r>
      <w:r w:rsidR="00D647A4" w:rsidRPr="00FB66F0">
        <w:rPr>
          <w:rFonts w:ascii="Times New Roman" w:hAnsi="Times New Roman" w:cs="Times New Roman"/>
          <w:sz w:val="22"/>
          <w:szCs w:val="22"/>
        </w:rPr>
        <w:t xml:space="preserve">proving </w:t>
      </w:r>
      <w:r w:rsidR="00844E6C" w:rsidRPr="00FB66F0">
        <w:rPr>
          <w:rFonts w:ascii="Times New Roman" w:hAnsi="Times New Roman" w:cs="Times New Roman"/>
          <w:sz w:val="22"/>
          <w:szCs w:val="22"/>
        </w:rPr>
        <w:t>the</w:t>
      </w:r>
      <w:r w:rsidR="00A71E87" w:rsidRPr="00FB66F0">
        <w:rPr>
          <w:rFonts w:ascii="Times New Roman" w:hAnsi="Times New Roman" w:cs="Times New Roman"/>
          <w:sz w:val="22"/>
          <w:szCs w:val="22"/>
        </w:rPr>
        <w:t xml:space="preserve"> statement caused or is likely to cause </w:t>
      </w:r>
      <w:r w:rsidR="00844E6C" w:rsidRPr="00FB66F0">
        <w:rPr>
          <w:rFonts w:ascii="Times New Roman" w:hAnsi="Times New Roman" w:cs="Times New Roman"/>
          <w:sz w:val="22"/>
          <w:szCs w:val="22"/>
        </w:rPr>
        <w:t>serious reputational harm</w:t>
      </w:r>
      <w:r w:rsidR="00A71E87" w:rsidRPr="00FB66F0">
        <w:rPr>
          <w:rFonts w:ascii="Times New Roman" w:hAnsi="Times New Roman" w:cs="Times New Roman"/>
          <w:sz w:val="22"/>
          <w:szCs w:val="22"/>
        </w:rPr>
        <w:t xml:space="preserve"> (2018). This evidence </w:t>
      </w:r>
      <w:r w:rsidR="00F53280" w:rsidRPr="00FB66F0">
        <w:rPr>
          <w:rFonts w:ascii="Times New Roman" w:hAnsi="Times New Roman" w:cs="Times New Roman"/>
          <w:sz w:val="22"/>
          <w:szCs w:val="22"/>
        </w:rPr>
        <w:t>can be linked to financial loss (such as losing a job) or physi</w:t>
      </w:r>
      <w:r w:rsidR="004707BC" w:rsidRPr="00FB66F0">
        <w:rPr>
          <w:rFonts w:ascii="Times New Roman" w:hAnsi="Times New Roman" w:cs="Times New Roman"/>
          <w:sz w:val="22"/>
          <w:szCs w:val="22"/>
        </w:rPr>
        <w:t>cal harm</w:t>
      </w:r>
      <w:r w:rsidR="0029323C" w:rsidRPr="00FB66F0">
        <w:rPr>
          <w:rFonts w:ascii="Times New Roman" w:hAnsi="Times New Roman" w:cs="Times New Roman"/>
          <w:sz w:val="22"/>
          <w:szCs w:val="22"/>
        </w:rPr>
        <w:t xml:space="preserve"> (such as being attacked) (</w:t>
      </w:r>
      <w:r w:rsidR="004707BC" w:rsidRPr="00FB66F0">
        <w:rPr>
          <w:rFonts w:ascii="Times New Roman" w:hAnsi="Times New Roman" w:cs="Times New Roman"/>
          <w:i/>
          <w:sz w:val="22"/>
          <w:szCs w:val="22"/>
        </w:rPr>
        <w:t>Guidance Notes</w:t>
      </w:r>
      <w:r w:rsidR="004707BC" w:rsidRPr="00FB66F0">
        <w:rPr>
          <w:rFonts w:ascii="Times New Roman" w:hAnsi="Times New Roman" w:cs="Times New Roman"/>
          <w:sz w:val="22"/>
          <w:szCs w:val="22"/>
        </w:rPr>
        <w:t xml:space="preserve"> 2018).</w:t>
      </w:r>
      <w:r w:rsidR="002F70CB" w:rsidRPr="00FB66F0">
        <w:rPr>
          <w:rFonts w:ascii="Times New Roman" w:hAnsi="Times New Roman" w:cs="Times New Roman"/>
          <w:sz w:val="22"/>
          <w:szCs w:val="22"/>
        </w:rPr>
        <w:t xml:space="preserve"> </w:t>
      </w:r>
    </w:p>
    <w:p w14:paraId="53DA6C87" w14:textId="77777777" w:rsidR="00CB3C9B" w:rsidRPr="00FB66F0" w:rsidRDefault="00CB3C9B" w:rsidP="00FB66F0">
      <w:pPr>
        <w:spacing w:line="360" w:lineRule="auto"/>
        <w:jc w:val="both"/>
        <w:rPr>
          <w:rFonts w:ascii="Times New Roman" w:hAnsi="Times New Roman" w:cs="Times New Roman"/>
          <w:sz w:val="22"/>
          <w:szCs w:val="22"/>
        </w:rPr>
      </w:pPr>
    </w:p>
    <w:p w14:paraId="0348645E" w14:textId="03B8B261" w:rsidR="00350BF6" w:rsidRPr="00FB66F0" w:rsidRDefault="00350BF6" w:rsidP="00FB66F0">
      <w:pPr>
        <w:spacing w:line="360" w:lineRule="auto"/>
        <w:jc w:val="both"/>
        <w:rPr>
          <w:rFonts w:ascii="Times New Roman" w:hAnsi="Times New Roman" w:cs="Times New Roman"/>
          <w:sz w:val="22"/>
          <w:szCs w:val="22"/>
        </w:rPr>
      </w:pPr>
      <w:r w:rsidRPr="00FB66F0">
        <w:rPr>
          <w:rFonts w:ascii="Times New Roman" w:hAnsi="Times New Roman" w:cs="Times New Roman"/>
          <w:sz w:val="22"/>
          <w:szCs w:val="22"/>
        </w:rPr>
        <w:t>Serio</w:t>
      </w:r>
      <w:r w:rsidR="002F70CB" w:rsidRPr="00FB66F0">
        <w:rPr>
          <w:rFonts w:ascii="Times New Roman" w:hAnsi="Times New Roman" w:cs="Times New Roman"/>
          <w:sz w:val="22"/>
          <w:szCs w:val="22"/>
        </w:rPr>
        <w:t>us harm can be explained</w:t>
      </w:r>
      <w:r w:rsidRPr="00FB66F0">
        <w:rPr>
          <w:rFonts w:ascii="Times New Roman" w:hAnsi="Times New Roman" w:cs="Times New Roman"/>
          <w:sz w:val="22"/>
          <w:szCs w:val="22"/>
        </w:rPr>
        <w:t xml:space="preserve"> using the </w:t>
      </w:r>
      <w:r w:rsidR="00E71D77" w:rsidRPr="00FB66F0">
        <w:rPr>
          <w:rFonts w:ascii="Times New Roman" w:hAnsi="Times New Roman" w:cs="Times New Roman"/>
          <w:sz w:val="22"/>
          <w:szCs w:val="22"/>
        </w:rPr>
        <w:t xml:space="preserve">three </w:t>
      </w:r>
      <w:r w:rsidRPr="00FB66F0">
        <w:rPr>
          <w:rFonts w:ascii="Times New Roman" w:hAnsi="Times New Roman" w:cs="Times New Roman"/>
          <w:sz w:val="22"/>
          <w:szCs w:val="22"/>
        </w:rPr>
        <w:t>Chase levels</w:t>
      </w:r>
      <w:r w:rsidR="00E71D77" w:rsidRPr="00FB66F0">
        <w:rPr>
          <w:rStyle w:val="FootnoteReference"/>
          <w:rFonts w:ascii="Times New Roman" w:hAnsi="Times New Roman" w:cs="Times New Roman"/>
          <w:sz w:val="22"/>
          <w:szCs w:val="22"/>
        </w:rPr>
        <w:footnoteReference w:id="3"/>
      </w:r>
      <w:r w:rsidRPr="00FB66F0">
        <w:rPr>
          <w:rFonts w:ascii="Times New Roman" w:hAnsi="Times New Roman" w:cs="Times New Roman"/>
          <w:sz w:val="22"/>
          <w:szCs w:val="22"/>
        </w:rPr>
        <w:t xml:space="preserve">. </w:t>
      </w:r>
      <w:r w:rsidRPr="00FB66F0">
        <w:rPr>
          <w:rFonts w:ascii="Times New Roman" w:hAnsi="Times New Roman" w:cs="Times New Roman"/>
          <w:sz w:val="22"/>
          <w:szCs w:val="22"/>
        </w:rPr>
        <w:t xml:space="preserve">The first Chase level is where facts are conveyed and there is no ambiguity in who is being named. This should be avoided unless what is being said can be proven. The second Chase level is where there are reasonable grounds to believe what is being claimed. In other words, </w:t>
      </w:r>
      <w:r w:rsidR="00560BDF" w:rsidRPr="00FB66F0">
        <w:rPr>
          <w:rFonts w:ascii="Times New Roman" w:hAnsi="Times New Roman" w:cs="Times New Roman"/>
          <w:sz w:val="22"/>
          <w:szCs w:val="22"/>
        </w:rPr>
        <w:t xml:space="preserve">one </w:t>
      </w:r>
      <w:r w:rsidRPr="00FB66F0">
        <w:rPr>
          <w:rFonts w:ascii="Times New Roman" w:hAnsi="Times New Roman" w:cs="Times New Roman"/>
          <w:sz w:val="22"/>
          <w:szCs w:val="22"/>
        </w:rPr>
        <w:t>is not claiming someone did something, but rather</w:t>
      </w:r>
      <w:r w:rsidR="0029323C" w:rsidRPr="00FB66F0">
        <w:rPr>
          <w:rFonts w:ascii="Times New Roman" w:hAnsi="Times New Roman" w:cs="Times New Roman"/>
          <w:sz w:val="22"/>
          <w:szCs w:val="22"/>
        </w:rPr>
        <w:t xml:space="preserve"> </w:t>
      </w:r>
      <w:r w:rsidR="007C5B33" w:rsidRPr="00FB66F0">
        <w:rPr>
          <w:rFonts w:ascii="Times New Roman" w:hAnsi="Times New Roman" w:cs="Times New Roman"/>
          <w:sz w:val="22"/>
          <w:szCs w:val="22"/>
        </w:rPr>
        <w:t>states he or she</w:t>
      </w:r>
      <w:r w:rsidRPr="00FB66F0">
        <w:rPr>
          <w:rFonts w:ascii="Times New Roman" w:hAnsi="Times New Roman" w:cs="Times New Roman"/>
          <w:sz w:val="22"/>
          <w:szCs w:val="22"/>
        </w:rPr>
        <w:t xml:space="preserve"> has reason to believe </w:t>
      </w:r>
      <w:r w:rsidR="007C5B33" w:rsidRPr="00FB66F0">
        <w:rPr>
          <w:rFonts w:ascii="Times New Roman" w:hAnsi="Times New Roman" w:cs="Times New Roman"/>
          <w:sz w:val="22"/>
          <w:szCs w:val="22"/>
        </w:rPr>
        <w:t>someone</w:t>
      </w:r>
      <w:r w:rsidRPr="00FB66F0">
        <w:rPr>
          <w:rFonts w:ascii="Times New Roman" w:hAnsi="Times New Roman" w:cs="Times New Roman"/>
          <w:sz w:val="22"/>
          <w:szCs w:val="22"/>
        </w:rPr>
        <w:t xml:space="preserve"> did it</w:t>
      </w:r>
      <w:r w:rsidR="002F70CB" w:rsidRPr="00FB66F0">
        <w:rPr>
          <w:rFonts w:ascii="Times New Roman" w:hAnsi="Times New Roman" w:cs="Times New Roman"/>
          <w:sz w:val="22"/>
          <w:szCs w:val="22"/>
        </w:rPr>
        <w:t xml:space="preserve">—this is the most commonly used </w:t>
      </w:r>
      <w:r w:rsidR="002F70CB" w:rsidRPr="00FB66F0">
        <w:rPr>
          <w:rFonts w:ascii="Times New Roman" w:hAnsi="Times New Roman" w:cs="Times New Roman"/>
          <w:sz w:val="22"/>
          <w:szCs w:val="22"/>
        </w:rPr>
        <w:t>(</w:t>
      </w:r>
      <w:r w:rsidR="002F70CB" w:rsidRPr="00FB66F0">
        <w:rPr>
          <w:rFonts w:ascii="Times New Roman" w:hAnsi="Times New Roman" w:cs="Times New Roman"/>
          <w:i/>
          <w:sz w:val="22"/>
          <w:szCs w:val="22"/>
        </w:rPr>
        <w:t>lecture notes</w:t>
      </w:r>
      <w:r w:rsidR="002F70CB" w:rsidRPr="00FB66F0">
        <w:rPr>
          <w:rFonts w:ascii="Times New Roman" w:hAnsi="Times New Roman" w:cs="Times New Roman"/>
          <w:sz w:val="22"/>
          <w:szCs w:val="22"/>
        </w:rPr>
        <w:t>, 2018)</w:t>
      </w:r>
      <w:r w:rsidRPr="00FB66F0">
        <w:rPr>
          <w:rFonts w:ascii="Times New Roman" w:hAnsi="Times New Roman" w:cs="Times New Roman"/>
          <w:sz w:val="22"/>
          <w:szCs w:val="22"/>
        </w:rPr>
        <w:t>. The third Chase level is where there is suspicion something has occurred, yet and has no value (</w:t>
      </w:r>
      <w:r w:rsidRPr="00FB66F0">
        <w:rPr>
          <w:rFonts w:ascii="Times New Roman" w:hAnsi="Times New Roman" w:cs="Times New Roman"/>
          <w:i/>
          <w:sz w:val="22"/>
          <w:szCs w:val="22"/>
        </w:rPr>
        <w:t>lecture notes</w:t>
      </w:r>
      <w:r w:rsidRPr="00FB66F0">
        <w:rPr>
          <w:rFonts w:ascii="Times New Roman" w:hAnsi="Times New Roman" w:cs="Times New Roman"/>
          <w:sz w:val="22"/>
          <w:szCs w:val="22"/>
        </w:rPr>
        <w:t>, 2018).</w:t>
      </w:r>
    </w:p>
    <w:p w14:paraId="428672BB" w14:textId="77777777" w:rsidR="00350BF6" w:rsidRPr="00FB66F0" w:rsidRDefault="00350BF6" w:rsidP="00FB66F0">
      <w:pPr>
        <w:spacing w:line="360" w:lineRule="auto"/>
        <w:jc w:val="both"/>
        <w:rPr>
          <w:rFonts w:ascii="Times New Roman" w:hAnsi="Times New Roman" w:cs="Times New Roman"/>
          <w:sz w:val="22"/>
          <w:szCs w:val="22"/>
        </w:rPr>
      </w:pPr>
    </w:p>
    <w:p w14:paraId="363E9D7E" w14:textId="1656F5A7" w:rsidR="008932AF" w:rsidRPr="00FB66F0" w:rsidRDefault="008F1E41" w:rsidP="00FB66F0">
      <w:pPr>
        <w:spacing w:line="360" w:lineRule="auto"/>
        <w:jc w:val="both"/>
        <w:rPr>
          <w:rFonts w:ascii="Times New Roman" w:hAnsi="Times New Roman" w:cs="Times New Roman"/>
          <w:sz w:val="22"/>
          <w:szCs w:val="22"/>
        </w:rPr>
      </w:pPr>
      <w:r w:rsidRPr="00FB66F0">
        <w:rPr>
          <w:rFonts w:ascii="Times New Roman" w:hAnsi="Times New Roman" w:cs="Times New Roman"/>
          <w:sz w:val="22"/>
          <w:szCs w:val="22"/>
        </w:rPr>
        <w:t xml:space="preserve">The claimant must also understand that, as the one who has filed the lawsuit, they must be the one who supplies the evidence proving the harm caused by the statement. Most often this evidence will reflect </w:t>
      </w:r>
      <w:r w:rsidR="007A44D4" w:rsidRPr="00FB66F0">
        <w:rPr>
          <w:rFonts w:ascii="Times New Roman" w:hAnsi="Times New Roman" w:cs="Times New Roman"/>
          <w:sz w:val="22"/>
          <w:szCs w:val="22"/>
        </w:rPr>
        <w:t>financial loss—such as losing a job, or in the case of an organization, the loss of business—or physical harm—such as being physically attacked</w:t>
      </w:r>
      <w:r w:rsidR="002704FE" w:rsidRPr="00FB66F0">
        <w:rPr>
          <w:rFonts w:ascii="Times New Roman" w:hAnsi="Times New Roman" w:cs="Times New Roman"/>
          <w:sz w:val="22"/>
          <w:szCs w:val="22"/>
        </w:rPr>
        <w:t xml:space="preserve"> due to the statement. </w:t>
      </w:r>
      <w:r w:rsidR="00FF7F5F" w:rsidRPr="00FB66F0">
        <w:rPr>
          <w:rFonts w:ascii="Times New Roman" w:hAnsi="Times New Roman" w:cs="Times New Roman"/>
          <w:sz w:val="22"/>
          <w:szCs w:val="22"/>
        </w:rPr>
        <w:t xml:space="preserve">It is important to understand </w:t>
      </w:r>
      <w:r w:rsidR="00D94BDA" w:rsidRPr="00FB66F0">
        <w:rPr>
          <w:rFonts w:ascii="Times New Roman" w:hAnsi="Times New Roman" w:cs="Times New Roman"/>
          <w:sz w:val="22"/>
          <w:szCs w:val="22"/>
        </w:rPr>
        <w:t xml:space="preserve">this burden of proof, as providing evidence of harm can be a grey area and there are no clear guidelines for what constitutes serious </w:t>
      </w:r>
      <w:r w:rsidR="008932AF" w:rsidRPr="00FB66F0">
        <w:rPr>
          <w:rFonts w:ascii="Times New Roman" w:hAnsi="Times New Roman" w:cs="Times New Roman"/>
          <w:sz w:val="22"/>
          <w:szCs w:val="22"/>
        </w:rPr>
        <w:t>h</w:t>
      </w:r>
      <w:r w:rsidR="002F70CB" w:rsidRPr="00FB66F0">
        <w:rPr>
          <w:rFonts w:ascii="Times New Roman" w:hAnsi="Times New Roman" w:cs="Times New Roman"/>
          <w:sz w:val="22"/>
          <w:szCs w:val="22"/>
        </w:rPr>
        <w:t>arm. Quinn explains this</w:t>
      </w:r>
      <w:r w:rsidR="008932AF" w:rsidRPr="00FB66F0">
        <w:rPr>
          <w:rFonts w:ascii="Times New Roman" w:hAnsi="Times New Roman" w:cs="Times New Roman"/>
          <w:sz w:val="22"/>
          <w:szCs w:val="22"/>
        </w:rPr>
        <w:t xml:space="preserve"> as</w:t>
      </w:r>
      <w:r w:rsidR="006F0A3F" w:rsidRPr="00FB66F0">
        <w:rPr>
          <w:rFonts w:ascii="Times New Roman" w:hAnsi="Times New Roman" w:cs="Times New Roman"/>
          <w:sz w:val="22"/>
          <w:szCs w:val="22"/>
        </w:rPr>
        <w:t xml:space="preserve"> evidence is</w:t>
      </w:r>
      <w:r w:rsidR="008932AF" w:rsidRPr="00FB66F0">
        <w:rPr>
          <w:rFonts w:ascii="Times New Roman" w:hAnsi="Times New Roman" w:cs="Times New Roman"/>
          <w:sz w:val="22"/>
          <w:szCs w:val="22"/>
        </w:rPr>
        <w:t xml:space="preserve"> not proving how the statement made the claimant feel, but rather the impression it is likely to make on those reading it</w:t>
      </w:r>
      <w:r w:rsidR="008056E6" w:rsidRPr="00FB66F0">
        <w:rPr>
          <w:rFonts w:ascii="Times New Roman" w:hAnsi="Times New Roman" w:cs="Times New Roman"/>
          <w:sz w:val="22"/>
          <w:szCs w:val="22"/>
        </w:rPr>
        <w:t xml:space="preserve"> and the harm it causes</w:t>
      </w:r>
      <w:r w:rsidR="008932AF" w:rsidRPr="00FB66F0">
        <w:rPr>
          <w:rFonts w:ascii="Times New Roman" w:hAnsi="Times New Roman" w:cs="Times New Roman"/>
          <w:sz w:val="22"/>
          <w:szCs w:val="22"/>
        </w:rPr>
        <w:t xml:space="preserve"> (2018</w:t>
      </w:r>
      <w:r w:rsidR="00C1348D" w:rsidRPr="00FB66F0">
        <w:rPr>
          <w:rFonts w:ascii="Times New Roman" w:hAnsi="Times New Roman" w:cs="Times New Roman"/>
          <w:sz w:val="22"/>
          <w:szCs w:val="22"/>
        </w:rPr>
        <w:t xml:space="preserve">, p. </w:t>
      </w:r>
      <w:r w:rsidR="00C877B0" w:rsidRPr="00FB66F0">
        <w:rPr>
          <w:rFonts w:ascii="Times New Roman" w:hAnsi="Times New Roman" w:cs="Times New Roman"/>
          <w:sz w:val="22"/>
          <w:szCs w:val="22"/>
        </w:rPr>
        <w:t>210</w:t>
      </w:r>
      <w:r w:rsidR="008932AF" w:rsidRPr="00FB66F0">
        <w:rPr>
          <w:rFonts w:ascii="Times New Roman" w:hAnsi="Times New Roman" w:cs="Times New Roman"/>
          <w:sz w:val="22"/>
          <w:szCs w:val="22"/>
        </w:rPr>
        <w:t xml:space="preserve">). </w:t>
      </w:r>
      <w:r w:rsidR="00A849D7" w:rsidRPr="00FB66F0">
        <w:rPr>
          <w:rFonts w:ascii="Times New Roman" w:hAnsi="Times New Roman" w:cs="Times New Roman"/>
          <w:sz w:val="22"/>
          <w:szCs w:val="22"/>
        </w:rPr>
        <w:t>In other words, defamatio</w:t>
      </w:r>
      <w:r w:rsidR="008056E6" w:rsidRPr="00FB66F0">
        <w:rPr>
          <w:rFonts w:ascii="Times New Roman" w:hAnsi="Times New Roman" w:cs="Times New Roman"/>
          <w:sz w:val="22"/>
          <w:szCs w:val="22"/>
        </w:rPr>
        <w:t>n cases are very fact specific. With this, i</w:t>
      </w:r>
      <w:r w:rsidR="008932AF" w:rsidRPr="00FB66F0">
        <w:rPr>
          <w:rFonts w:ascii="Times New Roman" w:hAnsi="Times New Roman" w:cs="Times New Roman"/>
          <w:sz w:val="22"/>
          <w:szCs w:val="22"/>
        </w:rPr>
        <w:t xml:space="preserve">t is important to note the usage of words such as </w:t>
      </w:r>
      <w:r w:rsidR="008932AF" w:rsidRPr="00FB66F0">
        <w:rPr>
          <w:rFonts w:ascii="Times New Roman" w:hAnsi="Times New Roman" w:cs="Times New Roman"/>
          <w:i/>
          <w:sz w:val="22"/>
          <w:szCs w:val="22"/>
        </w:rPr>
        <w:t>likely</w:t>
      </w:r>
      <w:r w:rsidR="008932AF" w:rsidRPr="00FB66F0">
        <w:rPr>
          <w:rFonts w:ascii="Times New Roman" w:hAnsi="Times New Roman" w:cs="Times New Roman"/>
          <w:sz w:val="22"/>
          <w:szCs w:val="22"/>
        </w:rPr>
        <w:t xml:space="preserve"> and </w:t>
      </w:r>
      <w:r w:rsidR="00B21ECA" w:rsidRPr="00FB66F0">
        <w:rPr>
          <w:rFonts w:ascii="Times New Roman" w:hAnsi="Times New Roman" w:cs="Times New Roman"/>
          <w:i/>
          <w:sz w:val="22"/>
          <w:szCs w:val="22"/>
        </w:rPr>
        <w:t>could cause</w:t>
      </w:r>
      <w:r w:rsidR="00B21ECA" w:rsidRPr="00FB66F0">
        <w:rPr>
          <w:rFonts w:ascii="Times New Roman" w:hAnsi="Times New Roman" w:cs="Times New Roman"/>
          <w:sz w:val="22"/>
          <w:szCs w:val="22"/>
        </w:rPr>
        <w:t>, as</w:t>
      </w:r>
      <w:r w:rsidR="00A277FE" w:rsidRPr="00FB66F0">
        <w:rPr>
          <w:rFonts w:ascii="Times New Roman" w:hAnsi="Times New Roman" w:cs="Times New Roman"/>
          <w:sz w:val="22"/>
          <w:szCs w:val="22"/>
        </w:rPr>
        <w:t xml:space="preserve"> it shows how complex defamation lawsuits </w:t>
      </w:r>
      <w:r w:rsidR="006F0A3F" w:rsidRPr="00FB66F0">
        <w:rPr>
          <w:rFonts w:ascii="Times New Roman" w:hAnsi="Times New Roman" w:cs="Times New Roman"/>
          <w:sz w:val="22"/>
          <w:szCs w:val="22"/>
        </w:rPr>
        <w:t>can be. Evidence does not have to reflect what has occurred</w:t>
      </w:r>
      <w:r w:rsidR="008532AC" w:rsidRPr="00FB66F0">
        <w:rPr>
          <w:rFonts w:ascii="Times New Roman" w:hAnsi="Times New Roman" w:cs="Times New Roman"/>
          <w:sz w:val="22"/>
          <w:szCs w:val="22"/>
        </w:rPr>
        <w:t>, but rather show what could happen.</w:t>
      </w:r>
    </w:p>
    <w:p w14:paraId="2564D4D5" w14:textId="77777777" w:rsidR="00101F61" w:rsidRPr="00FB66F0" w:rsidRDefault="00101F61" w:rsidP="00FB66F0">
      <w:pPr>
        <w:spacing w:line="360" w:lineRule="auto"/>
        <w:jc w:val="both"/>
        <w:rPr>
          <w:rFonts w:ascii="Times New Roman" w:hAnsi="Times New Roman" w:cs="Times New Roman"/>
          <w:sz w:val="22"/>
          <w:szCs w:val="22"/>
        </w:rPr>
      </w:pPr>
    </w:p>
    <w:p w14:paraId="1365B325" w14:textId="39681C0A" w:rsidR="00EF0CDC" w:rsidRPr="00FB66F0" w:rsidRDefault="00537D8F" w:rsidP="00FB66F0">
      <w:pPr>
        <w:spacing w:line="360" w:lineRule="auto"/>
        <w:jc w:val="both"/>
        <w:rPr>
          <w:rFonts w:ascii="Times New Roman" w:hAnsi="Times New Roman" w:cs="Times New Roman"/>
          <w:sz w:val="22"/>
          <w:szCs w:val="22"/>
        </w:rPr>
      </w:pPr>
      <w:r w:rsidRPr="00FB66F0">
        <w:rPr>
          <w:rFonts w:ascii="Times New Roman" w:hAnsi="Times New Roman" w:cs="Times New Roman"/>
          <w:sz w:val="22"/>
          <w:szCs w:val="22"/>
        </w:rPr>
        <w:t xml:space="preserve">The other side to any defamation lawsuit is the point of view of the defendant. As the one who published the defamatory statement, the defendant must </w:t>
      </w:r>
      <w:r w:rsidR="00EF0CDC" w:rsidRPr="00FB66F0">
        <w:rPr>
          <w:rFonts w:ascii="Times New Roman" w:hAnsi="Times New Roman" w:cs="Times New Roman"/>
          <w:sz w:val="22"/>
          <w:szCs w:val="22"/>
        </w:rPr>
        <w:t>understand the</w:t>
      </w:r>
      <w:r w:rsidR="00666BEE" w:rsidRPr="00FB66F0">
        <w:rPr>
          <w:rFonts w:ascii="Times New Roman" w:hAnsi="Times New Roman" w:cs="Times New Roman"/>
          <w:sz w:val="22"/>
          <w:szCs w:val="22"/>
        </w:rPr>
        <w:t xml:space="preserve"> difficulty in providing </w:t>
      </w:r>
      <w:r w:rsidR="006A3557" w:rsidRPr="00FB66F0">
        <w:rPr>
          <w:rFonts w:ascii="Times New Roman" w:hAnsi="Times New Roman" w:cs="Times New Roman"/>
          <w:sz w:val="22"/>
          <w:szCs w:val="22"/>
        </w:rPr>
        <w:t xml:space="preserve">strong </w:t>
      </w:r>
      <w:r w:rsidR="00666BEE" w:rsidRPr="00FB66F0">
        <w:rPr>
          <w:rFonts w:ascii="Times New Roman" w:hAnsi="Times New Roman" w:cs="Times New Roman"/>
          <w:sz w:val="22"/>
          <w:szCs w:val="22"/>
        </w:rPr>
        <w:t xml:space="preserve">evidence </w:t>
      </w:r>
      <w:r w:rsidR="002F70CB" w:rsidRPr="00FB66F0">
        <w:rPr>
          <w:rFonts w:ascii="Times New Roman" w:hAnsi="Times New Roman" w:cs="Times New Roman"/>
          <w:sz w:val="22"/>
          <w:szCs w:val="22"/>
        </w:rPr>
        <w:t>that proves</w:t>
      </w:r>
      <w:r w:rsidR="006A3557" w:rsidRPr="00FB66F0">
        <w:rPr>
          <w:rFonts w:ascii="Times New Roman" w:hAnsi="Times New Roman" w:cs="Times New Roman"/>
          <w:sz w:val="22"/>
          <w:szCs w:val="22"/>
        </w:rPr>
        <w:t xml:space="preserve"> truth</w:t>
      </w:r>
      <w:r w:rsidR="00EF0CDC" w:rsidRPr="00FB66F0">
        <w:rPr>
          <w:rFonts w:ascii="Times New Roman" w:hAnsi="Times New Roman" w:cs="Times New Roman"/>
          <w:sz w:val="22"/>
          <w:szCs w:val="22"/>
        </w:rPr>
        <w:t>. However, the claimant must be easily identifiable by the “</w:t>
      </w:r>
      <w:r w:rsidR="005A30E2" w:rsidRPr="00FB66F0">
        <w:rPr>
          <w:rFonts w:ascii="Times New Roman" w:hAnsi="Times New Roman" w:cs="Times New Roman"/>
          <w:sz w:val="22"/>
          <w:szCs w:val="22"/>
        </w:rPr>
        <w:t>reaso</w:t>
      </w:r>
      <w:r w:rsidR="00EF0CDC" w:rsidRPr="00FB66F0">
        <w:rPr>
          <w:rFonts w:ascii="Times New Roman" w:hAnsi="Times New Roman" w:cs="Times New Roman"/>
          <w:sz w:val="22"/>
          <w:szCs w:val="22"/>
        </w:rPr>
        <w:t>n</w:t>
      </w:r>
      <w:r w:rsidR="005A30E2" w:rsidRPr="00FB66F0">
        <w:rPr>
          <w:rFonts w:ascii="Times New Roman" w:hAnsi="Times New Roman" w:cs="Times New Roman"/>
          <w:sz w:val="22"/>
          <w:szCs w:val="22"/>
        </w:rPr>
        <w:t>able</w:t>
      </w:r>
      <w:r w:rsidR="00EF0CDC" w:rsidRPr="00FB66F0">
        <w:rPr>
          <w:rFonts w:ascii="Times New Roman" w:hAnsi="Times New Roman" w:cs="Times New Roman"/>
          <w:sz w:val="22"/>
          <w:szCs w:val="22"/>
        </w:rPr>
        <w:t xml:space="preserve">” </w:t>
      </w:r>
      <w:r w:rsidR="00AC4832" w:rsidRPr="00FB66F0">
        <w:rPr>
          <w:rFonts w:ascii="Times New Roman" w:hAnsi="Times New Roman" w:cs="Times New Roman"/>
          <w:sz w:val="22"/>
          <w:szCs w:val="22"/>
        </w:rPr>
        <w:t>person—</w:t>
      </w:r>
      <w:r w:rsidR="005A30E2" w:rsidRPr="00FB66F0">
        <w:rPr>
          <w:rFonts w:ascii="Times New Roman" w:hAnsi="Times New Roman" w:cs="Times New Roman"/>
          <w:sz w:val="22"/>
          <w:szCs w:val="22"/>
        </w:rPr>
        <w:t>Bloy explains the reasonable person as someone</w:t>
      </w:r>
      <w:r w:rsidR="00EF0CDC" w:rsidRPr="00FB66F0">
        <w:rPr>
          <w:rFonts w:ascii="Times New Roman" w:hAnsi="Times New Roman" w:cs="Times New Roman"/>
          <w:sz w:val="22"/>
          <w:szCs w:val="22"/>
        </w:rPr>
        <w:t xml:space="preserve"> </w:t>
      </w:r>
      <w:r w:rsidR="005A30E2" w:rsidRPr="00FB66F0">
        <w:rPr>
          <w:rFonts w:ascii="Times New Roman" w:hAnsi="Times New Roman" w:cs="Times New Roman"/>
          <w:sz w:val="22"/>
          <w:szCs w:val="22"/>
        </w:rPr>
        <w:t>who: is not naïve; not avid for scandal; can spot an innuendo or read between the lines; does not read material like a lawyer; gives words their ordinary or natural meaning</w:t>
      </w:r>
      <w:r w:rsidR="00623E9A" w:rsidRPr="00FB66F0">
        <w:rPr>
          <w:rFonts w:ascii="Times New Roman" w:hAnsi="Times New Roman" w:cs="Times New Roman"/>
          <w:sz w:val="22"/>
          <w:szCs w:val="22"/>
        </w:rPr>
        <w:t xml:space="preserve"> (</w:t>
      </w:r>
      <w:r w:rsidR="00067D78" w:rsidRPr="00FB66F0">
        <w:rPr>
          <w:rFonts w:ascii="Times New Roman" w:hAnsi="Times New Roman" w:cs="Times New Roman"/>
          <w:i/>
          <w:sz w:val="22"/>
          <w:szCs w:val="22"/>
        </w:rPr>
        <w:t>lecture notes</w:t>
      </w:r>
      <w:r w:rsidR="00067D78" w:rsidRPr="00FB66F0">
        <w:rPr>
          <w:rFonts w:ascii="Times New Roman" w:hAnsi="Times New Roman" w:cs="Times New Roman"/>
          <w:sz w:val="22"/>
          <w:szCs w:val="22"/>
        </w:rPr>
        <w:t xml:space="preserve">, </w:t>
      </w:r>
      <w:r w:rsidR="00623E9A" w:rsidRPr="00FB66F0">
        <w:rPr>
          <w:rFonts w:ascii="Times New Roman" w:hAnsi="Times New Roman" w:cs="Times New Roman"/>
          <w:sz w:val="22"/>
          <w:szCs w:val="22"/>
        </w:rPr>
        <w:t>2018)</w:t>
      </w:r>
      <w:r w:rsidR="00EF0CDC" w:rsidRPr="00FB66F0">
        <w:rPr>
          <w:rFonts w:ascii="Times New Roman" w:hAnsi="Times New Roman" w:cs="Times New Roman"/>
          <w:sz w:val="22"/>
          <w:szCs w:val="22"/>
        </w:rPr>
        <w:t xml:space="preserve">. </w:t>
      </w:r>
    </w:p>
    <w:p w14:paraId="6EA0B992" w14:textId="77777777" w:rsidR="004245E4" w:rsidRPr="00FB66F0" w:rsidRDefault="004245E4" w:rsidP="00FB66F0">
      <w:pPr>
        <w:spacing w:line="360" w:lineRule="auto"/>
        <w:jc w:val="both"/>
        <w:rPr>
          <w:rFonts w:ascii="Times New Roman" w:hAnsi="Times New Roman" w:cs="Times New Roman"/>
          <w:sz w:val="22"/>
          <w:szCs w:val="22"/>
        </w:rPr>
      </w:pPr>
    </w:p>
    <w:p w14:paraId="3F965D4C" w14:textId="2FFC847E" w:rsidR="00537D8F" w:rsidRPr="00FB66F0" w:rsidRDefault="00BD1D63" w:rsidP="00FB66F0">
      <w:pPr>
        <w:spacing w:line="360" w:lineRule="auto"/>
        <w:jc w:val="both"/>
        <w:rPr>
          <w:rFonts w:ascii="Times New Roman" w:hAnsi="Times New Roman" w:cs="Times New Roman"/>
          <w:sz w:val="22"/>
          <w:szCs w:val="22"/>
        </w:rPr>
      </w:pPr>
      <w:r w:rsidRPr="00FB66F0">
        <w:rPr>
          <w:rFonts w:ascii="Times New Roman" w:hAnsi="Times New Roman" w:cs="Times New Roman"/>
          <w:sz w:val="22"/>
          <w:szCs w:val="22"/>
        </w:rPr>
        <w:t>T</w:t>
      </w:r>
      <w:r w:rsidR="00EF0CDC" w:rsidRPr="00FB66F0">
        <w:rPr>
          <w:rFonts w:ascii="Times New Roman" w:hAnsi="Times New Roman" w:cs="Times New Roman"/>
          <w:sz w:val="22"/>
          <w:szCs w:val="22"/>
        </w:rPr>
        <w:t xml:space="preserve">he defendant </w:t>
      </w:r>
      <w:r w:rsidRPr="00FB66F0">
        <w:rPr>
          <w:rFonts w:ascii="Times New Roman" w:hAnsi="Times New Roman" w:cs="Times New Roman"/>
          <w:sz w:val="22"/>
          <w:szCs w:val="22"/>
        </w:rPr>
        <w:t>also needs to</w:t>
      </w:r>
      <w:r w:rsidR="00EF0CDC" w:rsidRPr="00FB66F0">
        <w:rPr>
          <w:rFonts w:ascii="Times New Roman" w:hAnsi="Times New Roman" w:cs="Times New Roman"/>
          <w:sz w:val="22"/>
          <w:szCs w:val="22"/>
        </w:rPr>
        <w:t xml:space="preserve"> understand the importance of </w:t>
      </w:r>
      <w:r w:rsidR="00537D8F" w:rsidRPr="00FB66F0">
        <w:rPr>
          <w:rFonts w:ascii="Times New Roman" w:hAnsi="Times New Roman" w:cs="Times New Roman"/>
          <w:sz w:val="22"/>
          <w:szCs w:val="22"/>
        </w:rPr>
        <w:t>be</w:t>
      </w:r>
      <w:r w:rsidR="00EF0CDC" w:rsidRPr="00FB66F0">
        <w:rPr>
          <w:rFonts w:ascii="Times New Roman" w:hAnsi="Times New Roman" w:cs="Times New Roman"/>
          <w:sz w:val="22"/>
          <w:szCs w:val="22"/>
        </w:rPr>
        <w:t>ing</w:t>
      </w:r>
      <w:r w:rsidR="00537D8F" w:rsidRPr="00FB66F0">
        <w:rPr>
          <w:rFonts w:ascii="Times New Roman" w:hAnsi="Times New Roman" w:cs="Times New Roman"/>
          <w:sz w:val="22"/>
          <w:szCs w:val="22"/>
        </w:rPr>
        <w:t xml:space="preserve"> able to prove the truth of their statement. </w:t>
      </w:r>
      <w:r w:rsidR="00EE0F94" w:rsidRPr="00FB66F0">
        <w:rPr>
          <w:rFonts w:ascii="Times New Roman" w:hAnsi="Times New Roman" w:cs="Times New Roman"/>
          <w:sz w:val="22"/>
          <w:szCs w:val="22"/>
        </w:rPr>
        <w:t xml:space="preserve"> </w:t>
      </w:r>
      <w:r w:rsidR="008E6C0E" w:rsidRPr="00FB66F0">
        <w:rPr>
          <w:rFonts w:ascii="Times New Roman" w:hAnsi="Times New Roman" w:cs="Times New Roman"/>
          <w:sz w:val="22"/>
          <w:szCs w:val="22"/>
        </w:rPr>
        <w:t>For this reason, hearsay should not be used (the defendant should not use the justification of someone else saying something as grounds to make the statement true). While proving the truth of the statement, caution must be taken with photographs and voice recordings, as they could have bee</w:t>
      </w:r>
      <w:r w:rsidR="00271130" w:rsidRPr="00FB66F0">
        <w:rPr>
          <w:rFonts w:ascii="Times New Roman" w:hAnsi="Times New Roman" w:cs="Times New Roman"/>
          <w:sz w:val="22"/>
          <w:szCs w:val="22"/>
        </w:rPr>
        <w:t>n manipulated or changed (</w:t>
      </w:r>
      <w:r w:rsidR="00271130" w:rsidRPr="00FB66F0">
        <w:rPr>
          <w:rFonts w:ascii="Times New Roman" w:hAnsi="Times New Roman" w:cs="Times New Roman"/>
          <w:i/>
          <w:sz w:val="22"/>
          <w:szCs w:val="22"/>
        </w:rPr>
        <w:t>lecture notes</w:t>
      </w:r>
      <w:r w:rsidR="008F6A23" w:rsidRPr="00FB66F0">
        <w:rPr>
          <w:rFonts w:ascii="Times New Roman" w:hAnsi="Times New Roman" w:cs="Times New Roman"/>
          <w:sz w:val="22"/>
          <w:szCs w:val="22"/>
        </w:rPr>
        <w:t>,</w:t>
      </w:r>
      <w:r w:rsidR="008E6C0E" w:rsidRPr="00FB66F0">
        <w:rPr>
          <w:rFonts w:ascii="Times New Roman" w:hAnsi="Times New Roman" w:cs="Times New Roman"/>
          <w:sz w:val="22"/>
          <w:szCs w:val="22"/>
        </w:rPr>
        <w:t xml:space="preserve"> 2018). </w:t>
      </w:r>
      <w:r w:rsidR="005A62E2" w:rsidRPr="00FB66F0">
        <w:rPr>
          <w:rFonts w:ascii="Times New Roman" w:hAnsi="Times New Roman" w:cs="Times New Roman"/>
          <w:sz w:val="22"/>
          <w:szCs w:val="22"/>
        </w:rPr>
        <w:t>The defendant must also</w:t>
      </w:r>
      <w:r w:rsidR="00AC4832" w:rsidRPr="00FB66F0">
        <w:rPr>
          <w:rFonts w:ascii="Times New Roman" w:hAnsi="Times New Roman" w:cs="Times New Roman"/>
          <w:sz w:val="22"/>
          <w:szCs w:val="22"/>
        </w:rPr>
        <w:t xml:space="preserve"> be able to</w:t>
      </w:r>
      <w:r w:rsidR="005A62E2" w:rsidRPr="00FB66F0">
        <w:rPr>
          <w:rFonts w:ascii="Times New Roman" w:hAnsi="Times New Roman" w:cs="Times New Roman"/>
          <w:sz w:val="22"/>
          <w:szCs w:val="22"/>
        </w:rPr>
        <w:t xml:space="preserve"> prove that at the time the defamatory statement was made,</w:t>
      </w:r>
      <w:r w:rsidR="008F6A23" w:rsidRPr="00FB66F0">
        <w:rPr>
          <w:rFonts w:ascii="Times New Roman" w:hAnsi="Times New Roman" w:cs="Times New Roman"/>
          <w:sz w:val="22"/>
          <w:szCs w:val="22"/>
        </w:rPr>
        <w:t xml:space="preserve"> there were reasonable grounds to believe it. Therefore, if the jury decides that no one could have honestly held the opinion—even if the defendant did—</w:t>
      </w:r>
      <w:r w:rsidR="00C45E1E" w:rsidRPr="00FB66F0">
        <w:rPr>
          <w:rFonts w:ascii="Times New Roman" w:hAnsi="Times New Roman" w:cs="Times New Roman"/>
          <w:sz w:val="22"/>
          <w:szCs w:val="22"/>
        </w:rPr>
        <w:t xml:space="preserve">and </w:t>
      </w:r>
      <w:r w:rsidR="000611E1" w:rsidRPr="00FB66F0">
        <w:rPr>
          <w:rFonts w:ascii="Times New Roman" w:hAnsi="Times New Roman" w:cs="Times New Roman"/>
          <w:sz w:val="22"/>
          <w:szCs w:val="22"/>
        </w:rPr>
        <w:t xml:space="preserve">the facts that lead </w:t>
      </w:r>
      <w:r w:rsidR="00C22C55" w:rsidRPr="00FB66F0">
        <w:rPr>
          <w:rFonts w:ascii="Times New Roman" w:hAnsi="Times New Roman" w:cs="Times New Roman"/>
          <w:sz w:val="22"/>
          <w:szCs w:val="22"/>
        </w:rPr>
        <w:t>the defendant to make the claim are not clear to the reader,</w:t>
      </w:r>
      <w:r w:rsidR="000611E1" w:rsidRPr="00FB66F0">
        <w:rPr>
          <w:rFonts w:ascii="Times New Roman" w:hAnsi="Times New Roman" w:cs="Times New Roman"/>
          <w:sz w:val="22"/>
          <w:szCs w:val="22"/>
        </w:rPr>
        <w:t xml:space="preserve"> </w:t>
      </w:r>
      <w:r w:rsidR="008F6A23" w:rsidRPr="00FB66F0">
        <w:rPr>
          <w:rFonts w:ascii="Times New Roman" w:hAnsi="Times New Roman" w:cs="Times New Roman"/>
          <w:sz w:val="22"/>
          <w:szCs w:val="22"/>
        </w:rPr>
        <w:t xml:space="preserve">the defense will fail (Quinn, 247). </w:t>
      </w:r>
    </w:p>
    <w:p w14:paraId="0685F1B2" w14:textId="77777777" w:rsidR="00EF0CDC" w:rsidRPr="00FB66F0" w:rsidRDefault="00EF0CDC" w:rsidP="00FB66F0">
      <w:pPr>
        <w:spacing w:line="360" w:lineRule="auto"/>
        <w:jc w:val="both"/>
        <w:rPr>
          <w:rFonts w:ascii="Times New Roman" w:hAnsi="Times New Roman" w:cs="Times New Roman"/>
          <w:sz w:val="22"/>
          <w:szCs w:val="22"/>
        </w:rPr>
      </w:pPr>
    </w:p>
    <w:p w14:paraId="46DEA59D" w14:textId="3BC16A0E" w:rsidR="008F5E0B" w:rsidRPr="00FB66F0" w:rsidRDefault="005A62E2" w:rsidP="00FB66F0">
      <w:pPr>
        <w:spacing w:line="360" w:lineRule="auto"/>
        <w:jc w:val="both"/>
        <w:rPr>
          <w:rFonts w:ascii="Times New Roman" w:hAnsi="Times New Roman" w:cs="Times New Roman"/>
          <w:sz w:val="22"/>
          <w:szCs w:val="22"/>
        </w:rPr>
      </w:pPr>
      <w:r w:rsidRPr="00FB66F0">
        <w:rPr>
          <w:rFonts w:ascii="Times New Roman" w:hAnsi="Times New Roman" w:cs="Times New Roman"/>
          <w:sz w:val="22"/>
          <w:szCs w:val="22"/>
        </w:rPr>
        <w:t>Despite all of this,</w:t>
      </w:r>
      <w:r w:rsidR="00EF0CDC" w:rsidRPr="00FB66F0">
        <w:rPr>
          <w:rFonts w:ascii="Times New Roman" w:hAnsi="Times New Roman" w:cs="Times New Roman"/>
          <w:sz w:val="22"/>
          <w:szCs w:val="22"/>
        </w:rPr>
        <w:t xml:space="preserve"> the most important factor a defendant must consider is the ability to prove public interest. </w:t>
      </w:r>
      <w:r w:rsidR="007F6C68" w:rsidRPr="00FB66F0">
        <w:rPr>
          <w:rFonts w:ascii="Times New Roman" w:hAnsi="Times New Roman" w:cs="Times New Roman"/>
          <w:sz w:val="22"/>
          <w:szCs w:val="22"/>
        </w:rPr>
        <w:t>The Economou versus de Freita</w:t>
      </w:r>
      <w:r w:rsidR="000E46A5" w:rsidRPr="00FB66F0">
        <w:rPr>
          <w:rFonts w:ascii="Times New Roman" w:hAnsi="Times New Roman" w:cs="Times New Roman"/>
          <w:sz w:val="22"/>
          <w:szCs w:val="22"/>
        </w:rPr>
        <w:t>s</w:t>
      </w:r>
      <w:r w:rsidR="007F6C68" w:rsidRPr="00FB66F0">
        <w:rPr>
          <w:rFonts w:ascii="Times New Roman" w:hAnsi="Times New Roman" w:cs="Times New Roman"/>
          <w:sz w:val="22"/>
          <w:szCs w:val="22"/>
        </w:rPr>
        <w:t xml:space="preserve"> case of 2018</w:t>
      </w:r>
      <w:r w:rsidR="00623E9A" w:rsidRPr="00FB66F0">
        <w:rPr>
          <w:rStyle w:val="FootnoteReference"/>
          <w:rFonts w:ascii="Times New Roman" w:hAnsi="Times New Roman" w:cs="Times New Roman"/>
          <w:sz w:val="22"/>
          <w:szCs w:val="22"/>
        </w:rPr>
        <w:footnoteReference w:id="4"/>
      </w:r>
      <w:r w:rsidR="007F6C68" w:rsidRPr="00FB66F0">
        <w:rPr>
          <w:rFonts w:ascii="Times New Roman" w:hAnsi="Times New Roman" w:cs="Times New Roman"/>
          <w:sz w:val="22"/>
          <w:szCs w:val="22"/>
        </w:rPr>
        <w:t xml:space="preserve"> is a great example of the importance public interest</w:t>
      </w:r>
      <w:r w:rsidR="00101F61" w:rsidRPr="00FB66F0">
        <w:rPr>
          <w:rFonts w:ascii="Times New Roman" w:hAnsi="Times New Roman" w:cs="Times New Roman"/>
          <w:sz w:val="22"/>
          <w:szCs w:val="22"/>
        </w:rPr>
        <w:t xml:space="preserve"> can play, and one of the first cases in which the section four of the def</w:t>
      </w:r>
      <w:r w:rsidR="007D2ACB" w:rsidRPr="00FB66F0">
        <w:rPr>
          <w:rFonts w:ascii="Times New Roman" w:hAnsi="Times New Roman" w:cs="Times New Roman"/>
          <w:sz w:val="22"/>
          <w:szCs w:val="22"/>
        </w:rPr>
        <w:t xml:space="preserve">ense (public interest) has been closely examined. </w:t>
      </w:r>
      <w:r w:rsidR="0065541F" w:rsidRPr="00FB66F0">
        <w:rPr>
          <w:rFonts w:ascii="Times New Roman" w:hAnsi="Times New Roman" w:cs="Times New Roman"/>
          <w:sz w:val="22"/>
          <w:szCs w:val="22"/>
        </w:rPr>
        <w:t xml:space="preserve">Economou failed to appeal </w:t>
      </w:r>
      <w:r w:rsidR="00C877B0" w:rsidRPr="00FB66F0">
        <w:rPr>
          <w:rFonts w:ascii="Times New Roman" w:hAnsi="Times New Roman" w:cs="Times New Roman"/>
          <w:sz w:val="22"/>
          <w:szCs w:val="22"/>
        </w:rPr>
        <w:t xml:space="preserve">the court’s decision to dismiss his defamation lawsuit </w:t>
      </w:r>
      <w:r w:rsidR="00C378E4" w:rsidRPr="00FB66F0">
        <w:rPr>
          <w:rFonts w:ascii="Times New Roman" w:hAnsi="Times New Roman" w:cs="Times New Roman"/>
          <w:sz w:val="22"/>
          <w:szCs w:val="22"/>
        </w:rPr>
        <w:t xml:space="preserve">because of the relevance to public </w:t>
      </w:r>
      <w:r w:rsidR="00720D5A" w:rsidRPr="00FB66F0">
        <w:rPr>
          <w:rFonts w:ascii="Times New Roman" w:hAnsi="Times New Roman" w:cs="Times New Roman"/>
          <w:sz w:val="22"/>
          <w:szCs w:val="22"/>
        </w:rPr>
        <w:t>interest</w:t>
      </w:r>
      <w:r w:rsidR="00C378E4" w:rsidRPr="00FB66F0">
        <w:rPr>
          <w:rFonts w:ascii="Times New Roman" w:hAnsi="Times New Roman" w:cs="Times New Roman"/>
          <w:sz w:val="22"/>
          <w:szCs w:val="22"/>
        </w:rPr>
        <w:t>.</w:t>
      </w:r>
      <w:r w:rsidR="00720D5A" w:rsidRPr="00FB66F0">
        <w:rPr>
          <w:rFonts w:ascii="Times New Roman" w:hAnsi="Times New Roman" w:cs="Times New Roman"/>
          <w:sz w:val="22"/>
          <w:szCs w:val="22"/>
        </w:rPr>
        <w:t xml:space="preserve"> </w:t>
      </w:r>
      <w:r w:rsidR="00A7425A" w:rsidRPr="00FB66F0">
        <w:rPr>
          <w:rFonts w:ascii="Times New Roman" w:hAnsi="Times New Roman" w:cs="Times New Roman"/>
          <w:sz w:val="22"/>
          <w:szCs w:val="22"/>
        </w:rPr>
        <w:t xml:space="preserve">Mr Justice Warby </w:t>
      </w:r>
      <w:r w:rsidR="00B22355" w:rsidRPr="00FB66F0">
        <w:rPr>
          <w:rFonts w:ascii="Times New Roman" w:hAnsi="Times New Roman" w:cs="Times New Roman"/>
          <w:sz w:val="22"/>
          <w:szCs w:val="22"/>
        </w:rPr>
        <w:t xml:space="preserve">explained </w:t>
      </w:r>
      <w:r w:rsidR="00A7425A" w:rsidRPr="00FB66F0">
        <w:rPr>
          <w:rFonts w:ascii="Times New Roman" w:hAnsi="Times New Roman" w:cs="Times New Roman"/>
          <w:sz w:val="22"/>
          <w:szCs w:val="22"/>
        </w:rPr>
        <w:t>that, b</w:t>
      </w:r>
      <w:r w:rsidR="000E46A5" w:rsidRPr="00FB66F0">
        <w:rPr>
          <w:rFonts w:ascii="Times New Roman" w:hAnsi="Times New Roman" w:cs="Times New Roman"/>
          <w:sz w:val="22"/>
          <w:szCs w:val="22"/>
        </w:rPr>
        <w:t>ecause of section 4 (2), de Frei</w:t>
      </w:r>
      <w:r w:rsidR="00A7425A" w:rsidRPr="00FB66F0">
        <w:rPr>
          <w:rFonts w:ascii="Times New Roman" w:hAnsi="Times New Roman" w:cs="Times New Roman"/>
          <w:sz w:val="22"/>
          <w:szCs w:val="22"/>
        </w:rPr>
        <w:t xml:space="preserve">tas had reasonably believed the published statement was </w:t>
      </w:r>
      <w:r w:rsidR="000E46A5" w:rsidRPr="00FB66F0">
        <w:rPr>
          <w:rFonts w:ascii="Times New Roman" w:hAnsi="Times New Roman" w:cs="Times New Roman"/>
          <w:sz w:val="22"/>
          <w:szCs w:val="22"/>
        </w:rPr>
        <w:t>in the interest of the public</w:t>
      </w:r>
      <w:r w:rsidR="00EE53C1" w:rsidRPr="00FB66F0">
        <w:rPr>
          <w:rFonts w:ascii="Times New Roman" w:hAnsi="Times New Roman" w:cs="Times New Roman"/>
          <w:sz w:val="22"/>
          <w:szCs w:val="22"/>
        </w:rPr>
        <w:t>, and, as</w:t>
      </w:r>
      <w:r w:rsidR="000E46A5" w:rsidRPr="00FB66F0">
        <w:rPr>
          <w:rFonts w:ascii="Times New Roman" w:hAnsi="Times New Roman" w:cs="Times New Roman"/>
          <w:sz w:val="22"/>
          <w:szCs w:val="22"/>
        </w:rPr>
        <w:t xml:space="preserve"> de Freiats was not a journalist</w:t>
      </w:r>
      <w:r w:rsidR="00EE53C1" w:rsidRPr="00FB66F0">
        <w:rPr>
          <w:rFonts w:ascii="Times New Roman" w:hAnsi="Times New Roman" w:cs="Times New Roman"/>
          <w:sz w:val="22"/>
          <w:szCs w:val="22"/>
        </w:rPr>
        <w:t>,</w:t>
      </w:r>
      <w:r w:rsidR="000E46A5" w:rsidRPr="00FB66F0">
        <w:rPr>
          <w:rFonts w:ascii="Times New Roman" w:hAnsi="Times New Roman" w:cs="Times New Roman"/>
          <w:sz w:val="22"/>
          <w:szCs w:val="22"/>
        </w:rPr>
        <w:t xml:space="preserve"> should not be held to the same standards as one—de Freitas</w:t>
      </w:r>
      <w:r w:rsidR="00B22355" w:rsidRPr="00FB66F0">
        <w:rPr>
          <w:rFonts w:ascii="Times New Roman" w:hAnsi="Times New Roman" w:cs="Times New Roman"/>
          <w:sz w:val="22"/>
          <w:szCs w:val="22"/>
        </w:rPr>
        <w:t>’</w:t>
      </w:r>
      <w:r w:rsidR="000E46A5" w:rsidRPr="00FB66F0">
        <w:rPr>
          <w:rFonts w:ascii="Times New Roman" w:hAnsi="Times New Roman" w:cs="Times New Roman"/>
          <w:sz w:val="22"/>
          <w:szCs w:val="22"/>
        </w:rPr>
        <w:t xml:space="preserve"> role </w:t>
      </w:r>
      <w:r w:rsidR="00EE53C1" w:rsidRPr="00FB66F0">
        <w:rPr>
          <w:rFonts w:ascii="Times New Roman" w:hAnsi="Times New Roman" w:cs="Times New Roman"/>
          <w:sz w:val="22"/>
          <w:szCs w:val="22"/>
        </w:rPr>
        <w:t>was</w:t>
      </w:r>
      <w:r w:rsidR="000E46A5" w:rsidRPr="00FB66F0">
        <w:rPr>
          <w:rFonts w:ascii="Times New Roman" w:hAnsi="Times New Roman" w:cs="Times New Roman"/>
          <w:sz w:val="22"/>
          <w:szCs w:val="22"/>
        </w:rPr>
        <w:t xml:space="preserve"> closer to that of a contributor or source</w:t>
      </w:r>
      <w:r w:rsidR="00EE53C1" w:rsidRPr="00FB66F0">
        <w:rPr>
          <w:rFonts w:ascii="Times New Roman" w:hAnsi="Times New Roman" w:cs="Times New Roman"/>
          <w:sz w:val="22"/>
          <w:szCs w:val="22"/>
        </w:rPr>
        <w:t>. This case provides</w:t>
      </w:r>
      <w:r w:rsidR="00F8122A" w:rsidRPr="00FB66F0">
        <w:rPr>
          <w:rFonts w:ascii="Times New Roman" w:hAnsi="Times New Roman" w:cs="Times New Roman"/>
          <w:sz w:val="22"/>
          <w:szCs w:val="22"/>
        </w:rPr>
        <w:t xml:space="preserve"> </w:t>
      </w:r>
      <w:r w:rsidR="00EE53C1" w:rsidRPr="00FB66F0">
        <w:rPr>
          <w:rFonts w:ascii="Times New Roman" w:hAnsi="Times New Roman" w:cs="Times New Roman"/>
          <w:sz w:val="22"/>
          <w:szCs w:val="22"/>
        </w:rPr>
        <w:t xml:space="preserve">insight to </w:t>
      </w:r>
      <w:r w:rsidR="00F8122A" w:rsidRPr="00FB66F0">
        <w:rPr>
          <w:rFonts w:ascii="Times New Roman" w:hAnsi="Times New Roman" w:cs="Times New Roman"/>
          <w:sz w:val="22"/>
          <w:szCs w:val="22"/>
        </w:rPr>
        <w:t>understanding the complexit</w:t>
      </w:r>
      <w:r w:rsidR="00EE53C1" w:rsidRPr="00FB66F0">
        <w:rPr>
          <w:rFonts w:ascii="Times New Roman" w:hAnsi="Times New Roman" w:cs="Times New Roman"/>
          <w:sz w:val="22"/>
          <w:szCs w:val="22"/>
        </w:rPr>
        <w:t>y of defamation cases and</w:t>
      </w:r>
      <w:r w:rsidR="00F8122A" w:rsidRPr="00FB66F0">
        <w:rPr>
          <w:rFonts w:ascii="Times New Roman" w:hAnsi="Times New Roman" w:cs="Times New Roman"/>
          <w:sz w:val="22"/>
          <w:szCs w:val="22"/>
        </w:rPr>
        <w:t xml:space="preserve"> the importance of public interest</w:t>
      </w:r>
      <w:r w:rsidR="00EE53C1" w:rsidRPr="00FB66F0">
        <w:rPr>
          <w:rFonts w:ascii="Times New Roman" w:hAnsi="Times New Roman" w:cs="Times New Roman"/>
          <w:sz w:val="22"/>
          <w:szCs w:val="22"/>
        </w:rPr>
        <w:t>.</w:t>
      </w:r>
    </w:p>
    <w:p w14:paraId="74A03DD5" w14:textId="77777777" w:rsidR="00FB66F0" w:rsidRPr="00FB66F0" w:rsidRDefault="00FB66F0" w:rsidP="00FB66F0">
      <w:pPr>
        <w:spacing w:line="360" w:lineRule="auto"/>
        <w:jc w:val="both"/>
        <w:rPr>
          <w:rFonts w:ascii="Times New Roman" w:hAnsi="Times New Roman" w:cs="Times New Roman"/>
          <w:sz w:val="22"/>
          <w:szCs w:val="22"/>
        </w:rPr>
      </w:pPr>
    </w:p>
    <w:p w14:paraId="04722EB2" w14:textId="511DABDF" w:rsidR="00C736AD" w:rsidRPr="00FB66F0" w:rsidRDefault="006C76B0" w:rsidP="00FB66F0">
      <w:pPr>
        <w:spacing w:line="360" w:lineRule="auto"/>
        <w:jc w:val="both"/>
        <w:rPr>
          <w:rFonts w:ascii="Times New Roman" w:hAnsi="Times New Roman" w:cs="Times New Roman"/>
          <w:sz w:val="22"/>
          <w:szCs w:val="22"/>
        </w:rPr>
      </w:pPr>
      <w:r w:rsidRPr="00FB66F0">
        <w:rPr>
          <w:rFonts w:ascii="Times New Roman" w:hAnsi="Times New Roman" w:cs="Times New Roman"/>
          <w:sz w:val="22"/>
          <w:szCs w:val="22"/>
        </w:rPr>
        <w:t xml:space="preserve">Once one has understood the principles of defamation lawsuits from the claimants and </w:t>
      </w:r>
      <w:r w:rsidR="00B94280" w:rsidRPr="00FB66F0">
        <w:rPr>
          <w:rFonts w:ascii="Times New Roman" w:hAnsi="Times New Roman" w:cs="Times New Roman"/>
          <w:sz w:val="22"/>
          <w:szCs w:val="22"/>
        </w:rPr>
        <w:t>defendants’</w:t>
      </w:r>
      <w:r w:rsidRPr="00FB66F0">
        <w:rPr>
          <w:rFonts w:ascii="Times New Roman" w:hAnsi="Times New Roman" w:cs="Times New Roman"/>
          <w:sz w:val="22"/>
          <w:szCs w:val="22"/>
        </w:rPr>
        <w:t xml:space="preserve"> perspective, it is important to understand why, as public relations practitioners, one must avoid making any defamatory statement and should think seriously before filing a lawsuit. Defamation lawsuits are </w:t>
      </w:r>
      <w:r w:rsidR="00DC6005" w:rsidRPr="00FB66F0">
        <w:rPr>
          <w:rFonts w:ascii="Times New Roman" w:hAnsi="Times New Roman" w:cs="Times New Roman"/>
          <w:sz w:val="22"/>
          <w:szCs w:val="22"/>
        </w:rPr>
        <w:t>often long drawn out and costly, and a</w:t>
      </w:r>
      <w:r w:rsidR="00B94280" w:rsidRPr="00FB66F0">
        <w:rPr>
          <w:rFonts w:ascii="Times New Roman" w:hAnsi="Times New Roman" w:cs="Times New Roman"/>
          <w:sz w:val="22"/>
          <w:szCs w:val="22"/>
        </w:rPr>
        <w:t>lthough</w:t>
      </w:r>
      <w:r w:rsidRPr="00FB66F0">
        <w:rPr>
          <w:rFonts w:ascii="Times New Roman" w:hAnsi="Times New Roman" w:cs="Times New Roman"/>
          <w:sz w:val="22"/>
          <w:szCs w:val="22"/>
        </w:rPr>
        <w:t xml:space="preserve"> the </w:t>
      </w:r>
      <w:r w:rsidR="00FB36E6" w:rsidRPr="00FB66F0">
        <w:rPr>
          <w:rFonts w:ascii="Times New Roman" w:hAnsi="Times New Roman" w:cs="Times New Roman"/>
          <w:sz w:val="22"/>
          <w:szCs w:val="22"/>
        </w:rPr>
        <w:t xml:space="preserve">no-win, no-fee Conditional Fee Agreements (CFAs) </w:t>
      </w:r>
      <w:r w:rsidR="00B94280" w:rsidRPr="00FB66F0">
        <w:rPr>
          <w:rFonts w:ascii="Times New Roman" w:hAnsi="Times New Roman" w:cs="Times New Roman"/>
          <w:sz w:val="22"/>
          <w:szCs w:val="22"/>
        </w:rPr>
        <w:t>ban</w:t>
      </w:r>
      <w:r w:rsidR="00B94280" w:rsidRPr="00FB66F0">
        <w:rPr>
          <w:rStyle w:val="FootnoteReference"/>
          <w:rFonts w:ascii="Times New Roman" w:hAnsi="Times New Roman" w:cs="Times New Roman"/>
          <w:sz w:val="22"/>
          <w:szCs w:val="22"/>
        </w:rPr>
        <w:footnoteReference w:id="5"/>
      </w:r>
      <w:r w:rsidR="00B94280" w:rsidRPr="00FB66F0">
        <w:rPr>
          <w:rFonts w:ascii="Times New Roman" w:hAnsi="Times New Roman" w:cs="Times New Roman"/>
          <w:sz w:val="22"/>
          <w:szCs w:val="22"/>
        </w:rPr>
        <w:t xml:space="preserve"> </w:t>
      </w:r>
      <w:r w:rsidR="009F5A32" w:rsidRPr="00FB66F0">
        <w:rPr>
          <w:rFonts w:ascii="Times New Roman" w:hAnsi="Times New Roman" w:cs="Times New Roman"/>
          <w:sz w:val="22"/>
          <w:szCs w:val="22"/>
        </w:rPr>
        <w:t xml:space="preserve">is </w:t>
      </w:r>
      <w:r w:rsidR="00B94280" w:rsidRPr="00FB66F0">
        <w:rPr>
          <w:rFonts w:ascii="Times New Roman" w:hAnsi="Times New Roman" w:cs="Times New Roman"/>
          <w:sz w:val="22"/>
          <w:szCs w:val="22"/>
        </w:rPr>
        <w:t xml:space="preserve">going into effect April 6, 2019, </w:t>
      </w:r>
      <w:r w:rsidR="00FB36E6" w:rsidRPr="00FB66F0">
        <w:rPr>
          <w:rFonts w:ascii="Times New Roman" w:hAnsi="Times New Roman" w:cs="Times New Roman"/>
          <w:sz w:val="22"/>
          <w:szCs w:val="22"/>
        </w:rPr>
        <w:t xml:space="preserve"> </w:t>
      </w:r>
      <w:r w:rsidR="00DC6005" w:rsidRPr="00FB66F0">
        <w:rPr>
          <w:rFonts w:ascii="Times New Roman" w:hAnsi="Times New Roman" w:cs="Times New Roman"/>
          <w:sz w:val="22"/>
          <w:szCs w:val="22"/>
        </w:rPr>
        <w:t>there are still</w:t>
      </w:r>
      <w:r w:rsidR="00B94280" w:rsidRPr="00FB66F0">
        <w:rPr>
          <w:rFonts w:ascii="Times New Roman" w:hAnsi="Times New Roman" w:cs="Times New Roman"/>
          <w:sz w:val="22"/>
          <w:szCs w:val="22"/>
        </w:rPr>
        <w:t xml:space="preserve"> little financial value </w:t>
      </w:r>
      <w:r w:rsidR="00DC6005" w:rsidRPr="00FB66F0">
        <w:rPr>
          <w:rFonts w:ascii="Times New Roman" w:hAnsi="Times New Roman" w:cs="Times New Roman"/>
          <w:sz w:val="22"/>
          <w:szCs w:val="22"/>
        </w:rPr>
        <w:t xml:space="preserve">of winning a defamation case. </w:t>
      </w:r>
      <w:r w:rsidR="00FB66F0" w:rsidRPr="00FB66F0">
        <w:rPr>
          <w:rFonts w:ascii="Times New Roman" w:hAnsi="Times New Roman" w:cs="Times New Roman"/>
          <w:sz w:val="22"/>
          <w:szCs w:val="22"/>
        </w:rPr>
        <w:t>Take the</w:t>
      </w:r>
      <w:r w:rsidR="00FB36E6" w:rsidRPr="00FB66F0">
        <w:rPr>
          <w:rFonts w:ascii="Times New Roman" w:hAnsi="Times New Roman" w:cs="Times New Roman"/>
          <w:sz w:val="22"/>
          <w:szCs w:val="22"/>
        </w:rPr>
        <w:t xml:space="preserve"> </w:t>
      </w:r>
      <w:r w:rsidR="008B0AA4" w:rsidRPr="00FB66F0">
        <w:rPr>
          <w:rFonts w:ascii="Times New Roman" w:hAnsi="Times New Roman" w:cs="Times New Roman"/>
          <w:sz w:val="22"/>
          <w:szCs w:val="22"/>
        </w:rPr>
        <w:t>Clifford v</w:t>
      </w:r>
      <w:r w:rsidR="008F6A23" w:rsidRPr="00FB66F0">
        <w:rPr>
          <w:rFonts w:ascii="Times New Roman" w:hAnsi="Times New Roman" w:cs="Times New Roman"/>
          <w:sz w:val="22"/>
          <w:szCs w:val="22"/>
        </w:rPr>
        <w:t xml:space="preserve"> </w:t>
      </w:r>
      <w:r w:rsidR="008B0AA4" w:rsidRPr="00FB66F0">
        <w:rPr>
          <w:rFonts w:ascii="Times New Roman" w:hAnsi="Times New Roman" w:cs="Times New Roman"/>
          <w:sz w:val="22"/>
          <w:szCs w:val="22"/>
        </w:rPr>
        <w:t>Trump</w:t>
      </w:r>
      <w:r w:rsidR="00FB36E6" w:rsidRPr="00FB66F0">
        <w:rPr>
          <w:rFonts w:ascii="Times New Roman" w:hAnsi="Times New Roman" w:cs="Times New Roman"/>
          <w:sz w:val="22"/>
          <w:szCs w:val="22"/>
        </w:rPr>
        <w:t xml:space="preserve"> case</w:t>
      </w:r>
      <w:r w:rsidR="00FB36E6" w:rsidRPr="00FB66F0">
        <w:rPr>
          <w:rStyle w:val="FootnoteReference"/>
          <w:rFonts w:ascii="Times New Roman" w:hAnsi="Times New Roman" w:cs="Times New Roman"/>
          <w:sz w:val="22"/>
          <w:szCs w:val="22"/>
        </w:rPr>
        <w:footnoteReference w:id="6"/>
      </w:r>
      <w:r w:rsidR="00FB66F0" w:rsidRPr="00FB66F0">
        <w:rPr>
          <w:rFonts w:ascii="Times New Roman" w:hAnsi="Times New Roman" w:cs="Times New Roman"/>
          <w:sz w:val="22"/>
          <w:szCs w:val="22"/>
        </w:rPr>
        <w:t xml:space="preserve"> for example.</w:t>
      </w:r>
      <w:r w:rsidR="00FB36E6" w:rsidRPr="00FB66F0">
        <w:rPr>
          <w:rFonts w:ascii="Times New Roman" w:hAnsi="Times New Roman" w:cs="Times New Roman"/>
          <w:sz w:val="22"/>
          <w:szCs w:val="22"/>
        </w:rPr>
        <w:t xml:space="preserve"> </w:t>
      </w:r>
      <w:r w:rsidR="008F6A23" w:rsidRPr="00FB66F0">
        <w:rPr>
          <w:rFonts w:ascii="Times New Roman" w:hAnsi="Times New Roman" w:cs="Times New Roman"/>
          <w:sz w:val="22"/>
          <w:szCs w:val="22"/>
        </w:rPr>
        <w:t xml:space="preserve">Had this case taken place in the UK after April 6 2018, Trumps lawyers would not have been able to request Clifford </w:t>
      </w:r>
      <w:r w:rsidR="00FB66F0" w:rsidRPr="00FB66F0">
        <w:rPr>
          <w:rFonts w:ascii="Times New Roman" w:hAnsi="Times New Roman" w:cs="Times New Roman"/>
          <w:sz w:val="22"/>
          <w:szCs w:val="22"/>
        </w:rPr>
        <w:t>to pay $800,000 for lawyer expenses and fees after Clifford had lost her defamation lawsuit.</w:t>
      </w:r>
      <w:r w:rsidR="00FB66F0" w:rsidRPr="00FB66F0">
        <w:rPr>
          <w:rFonts w:ascii="Times New Roman" w:hAnsi="Times New Roman" w:cs="Times New Roman"/>
          <w:sz w:val="22"/>
          <w:szCs w:val="22"/>
        </w:rPr>
        <w:t xml:space="preserve"> Although this has potential to provide a benefit to the losing party, this case example shows how costly a defamation lawsuit can be.</w:t>
      </w:r>
    </w:p>
    <w:p w14:paraId="6E1B1BD5" w14:textId="77777777" w:rsidR="00FB66F0" w:rsidRPr="00FB66F0" w:rsidRDefault="00FB66F0" w:rsidP="00FB66F0">
      <w:pPr>
        <w:spacing w:line="360" w:lineRule="auto"/>
        <w:jc w:val="both"/>
        <w:rPr>
          <w:rFonts w:ascii="Times New Roman" w:hAnsi="Times New Roman" w:cs="Times New Roman"/>
          <w:sz w:val="22"/>
          <w:szCs w:val="22"/>
        </w:rPr>
      </w:pPr>
    </w:p>
    <w:p w14:paraId="254EAAF8" w14:textId="39997ACD" w:rsidR="00AD4FCE" w:rsidRPr="00FB66F0" w:rsidRDefault="00FB66F0" w:rsidP="00FB66F0">
      <w:pPr>
        <w:spacing w:line="360" w:lineRule="auto"/>
        <w:jc w:val="both"/>
        <w:rPr>
          <w:rFonts w:ascii="Times New Roman" w:hAnsi="Times New Roman" w:cs="Times New Roman"/>
          <w:sz w:val="22"/>
          <w:szCs w:val="22"/>
        </w:rPr>
      </w:pPr>
      <w:r w:rsidRPr="00FB66F0">
        <w:rPr>
          <w:rFonts w:ascii="Times New Roman" w:hAnsi="Times New Roman" w:cs="Times New Roman"/>
          <w:sz w:val="22"/>
          <w:szCs w:val="22"/>
        </w:rPr>
        <w:t>B</w:t>
      </w:r>
      <w:r w:rsidR="0029503E" w:rsidRPr="00FB66F0">
        <w:rPr>
          <w:rFonts w:ascii="Times New Roman" w:hAnsi="Times New Roman" w:cs="Times New Roman"/>
          <w:sz w:val="22"/>
          <w:szCs w:val="22"/>
        </w:rPr>
        <w:t xml:space="preserve">y being </w:t>
      </w:r>
      <w:r w:rsidR="00394B1C" w:rsidRPr="00FB66F0">
        <w:rPr>
          <w:rFonts w:ascii="Times New Roman" w:hAnsi="Times New Roman" w:cs="Times New Roman"/>
          <w:sz w:val="22"/>
          <w:szCs w:val="22"/>
        </w:rPr>
        <w:t>knowledgeable</w:t>
      </w:r>
      <w:r w:rsidR="0029503E" w:rsidRPr="00FB66F0">
        <w:rPr>
          <w:rFonts w:ascii="Times New Roman" w:hAnsi="Times New Roman" w:cs="Times New Roman"/>
          <w:sz w:val="22"/>
          <w:szCs w:val="22"/>
        </w:rPr>
        <w:t xml:space="preserve"> in it</w:t>
      </w:r>
      <w:r w:rsidR="00C91EC9" w:rsidRPr="00FB66F0">
        <w:rPr>
          <w:rFonts w:ascii="Times New Roman" w:hAnsi="Times New Roman" w:cs="Times New Roman"/>
          <w:sz w:val="22"/>
          <w:szCs w:val="22"/>
        </w:rPr>
        <w:t>,</w:t>
      </w:r>
      <w:r w:rsidR="0029503E" w:rsidRPr="00FB66F0">
        <w:rPr>
          <w:rFonts w:ascii="Times New Roman" w:hAnsi="Times New Roman" w:cs="Times New Roman"/>
          <w:sz w:val="22"/>
          <w:szCs w:val="22"/>
        </w:rPr>
        <w:t xml:space="preserve"> PR practitioners </w:t>
      </w:r>
      <w:r w:rsidR="00C91EC9" w:rsidRPr="00FB66F0">
        <w:rPr>
          <w:rFonts w:ascii="Times New Roman" w:hAnsi="Times New Roman" w:cs="Times New Roman"/>
          <w:sz w:val="22"/>
          <w:szCs w:val="22"/>
        </w:rPr>
        <w:t xml:space="preserve">will be able to avoid lawsuits against something they published, and know when to file a lawsuit if something was published defaming them or their company. </w:t>
      </w:r>
      <w:r w:rsidR="00AD4FCE" w:rsidRPr="00FB66F0">
        <w:rPr>
          <w:rFonts w:ascii="Times New Roman" w:hAnsi="Times New Roman" w:cs="Times New Roman"/>
          <w:sz w:val="22"/>
          <w:szCs w:val="22"/>
        </w:rPr>
        <w:t xml:space="preserve">It is not what the claimant says or feels that makes a statement defamatory, it is what the audience makes of it, therefore, as media practitioners, one must always be cautious with what </w:t>
      </w:r>
      <w:r w:rsidRPr="00FB66F0">
        <w:rPr>
          <w:rFonts w:ascii="Times New Roman" w:hAnsi="Times New Roman" w:cs="Times New Roman"/>
          <w:sz w:val="22"/>
          <w:szCs w:val="22"/>
        </w:rPr>
        <w:t>is published. While one should not</w:t>
      </w:r>
      <w:r w:rsidR="00AD4FCE" w:rsidRPr="00FB66F0">
        <w:rPr>
          <w:rFonts w:ascii="Times New Roman" w:hAnsi="Times New Roman" w:cs="Times New Roman"/>
          <w:sz w:val="22"/>
          <w:szCs w:val="22"/>
        </w:rPr>
        <w:t xml:space="preserve"> be afraid of publishing anything, careful attention to the wording of statements will h</w:t>
      </w:r>
      <w:r w:rsidRPr="00FB66F0">
        <w:rPr>
          <w:rFonts w:ascii="Times New Roman" w:hAnsi="Times New Roman" w:cs="Times New Roman"/>
          <w:sz w:val="22"/>
          <w:szCs w:val="22"/>
        </w:rPr>
        <w:t>elp prevent any unwanted crisis, and help any public relations practitioner become successful.</w:t>
      </w:r>
    </w:p>
    <w:p w14:paraId="2894DB2E" w14:textId="77777777" w:rsidR="00EE53C1" w:rsidRPr="00FB66F0" w:rsidRDefault="00EE53C1" w:rsidP="00FB66F0">
      <w:pPr>
        <w:pStyle w:val="Heading1"/>
        <w:spacing w:line="360" w:lineRule="auto"/>
        <w:rPr>
          <w:rFonts w:ascii="Times New Roman" w:hAnsi="Times New Roman" w:cs="Times New Roman"/>
          <w:sz w:val="22"/>
          <w:szCs w:val="22"/>
        </w:rPr>
      </w:pPr>
    </w:p>
    <w:p w14:paraId="71A94857" w14:textId="77777777" w:rsidR="00EE53C1" w:rsidRPr="00FB66F0" w:rsidRDefault="00EE53C1" w:rsidP="00FB66F0">
      <w:pPr>
        <w:pStyle w:val="Heading1"/>
        <w:spacing w:line="360" w:lineRule="auto"/>
        <w:rPr>
          <w:rFonts w:ascii="Times New Roman" w:hAnsi="Times New Roman" w:cs="Times New Roman"/>
          <w:b w:val="0"/>
          <w:i/>
          <w:color w:val="000000" w:themeColor="text1"/>
          <w:sz w:val="22"/>
          <w:szCs w:val="22"/>
        </w:rPr>
      </w:pPr>
    </w:p>
    <w:p w14:paraId="064924E3" w14:textId="77777777" w:rsidR="00EE53C1" w:rsidRPr="00FB66F0" w:rsidRDefault="00EE53C1" w:rsidP="00FB66F0">
      <w:pPr>
        <w:pStyle w:val="Heading1"/>
        <w:spacing w:line="360" w:lineRule="auto"/>
        <w:rPr>
          <w:rFonts w:ascii="Times New Roman" w:hAnsi="Times New Roman" w:cs="Times New Roman"/>
          <w:b w:val="0"/>
          <w:i/>
          <w:color w:val="000000" w:themeColor="text1"/>
          <w:sz w:val="22"/>
          <w:szCs w:val="22"/>
        </w:rPr>
      </w:pPr>
    </w:p>
    <w:p w14:paraId="3F18CA4B" w14:textId="77777777" w:rsidR="00EE53C1" w:rsidRPr="00FB66F0" w:rsidRDefault="00EE53C1" w:rsidP="00FB66F0">
      <w:pPr>
        <w:pStyle w:val="Heading1"/>
        <w:spacing w:line="360" w:lineRule="auto"/>
        <w:rPr>
          <w:rFonts w:ascii="Times New Roman" w:hAnsi="Times New Roman" w:cs="Times New Roman"/>
          <w:b w:val="0"/>
          <w:i/>
          <w:color w:val="000000" w:themeColor="text1"/>
          <w:sz w:val="22"/>
          <w:szCs w:val="22"/>
        </w:rPr>
      </w:pPr>
    </w:p>
    <w:p w14:paraId="35157112" w14:textId="77777777" w:rsidR="00EE53C1" w:rsidRPr="00FB66F0" w:rsidRDefault="00EE53C1" w:rsidP="00FB66F0">
      <w:pPr>
        <w:pStyle w:val="Heading1"/>
        <w:spacing w:line="360" w:lineRule="auto"/>
        <w:rPr>
          <w:rFonts w:ascii="Times New Roman" w:hAnsi="Times New Roman" w:cs="Times New Roman"/>
          <w:b w:val="0"/>
          <w:i/>
          <w:color w:val="000000" w:themeColor="text1"/>
          <w:sz w:val="22"/>
          <w:szCs w:val="22"/>
        </w:rPr>
      </w:pPr>
    </w:p>
    <w:p w14:paraId="129F8081" w14:textId="77777777" w:rsidR="00EE53C1" w:rsidRPr="00FB66F0" w:rsidRDefault="00EE53C1" w:rsidP="00FB66F0">
      <w:pPr>
        <w:pStyle w:val="Heading1"/>
        <w:spacing w:line="360" w:lineRule="auto"/>
        <w:rPr>
          <w:rFonts w:ascii="Times New Roman" w:hAnsi="Times New Roman" w:cs="Times New Roman"/>
          <w:b w:val="0"/>
          <w:i/>
          <w:color w:val="000000" w:themeColor="text1"/>
          <w:sz w:val="22"/>
          <w:szCs w:val="22"/>
        </w:rPr>
      </w:pPr>
    </w:p>
    <w:p w14:paraId="0C119ADA" w14:textId="77777777" w:rsidR="00EE53C1" w:rsidRPr="00FB66F0" w:rsidRDefault="00EE53C1" w:rsidP="00FB66F0">
      <w:pPr>
        <w:pStyle w:val="Heading1"/>
        <w:spacing w:line="360" w:lineRule="auto"/>
        <w:rPr>
          <w:rFonts w:ascii="Times New Roman" w:hAnsi="Times New Roman" w:cs="Times New Roman"/>
          <w:b w:val="0"/>
          <w:i/>
          <w:color w:val="000000" w:themeColor="text1"/>
          <w:sz w:val="22"/>
          <w:szCs w:val="22"/>
        </w:rPr>
      </w:pPr>
    </w:p>
    <w:p w14:paraId="626C1407" w14:textId="77777777" w:rsidR="003E2A30" w:rsidRDefault="003E2A30" w:rsidP="00FB66F0">
      <w:pPr>
        <w:spacing w:line="360" w:lineRule="auto"/>
        <w:rPr>
          <w:rFonts w:ascii="Times New Roman" w:hAnsi="Times New Roman" w:cs="Times New Roman"/>
          <w:b/>
          <w:i/>
          <w:color w:val="000000" w:themeColor="text1"/>
          <w:sz w:val="22"/>
          <w:szCs w:val="22"/>
        </w:rPr>
      </w:pPr>
    </w:p>
    <w:p w14:paraId="67492F53" w14:textId="77777777" w:rsidR="003E2A30" w:rsidRDefault="003E2A30" w:rsidP="00FB66F0">
      <w:pPr>
        <w:spacing w:line="360" w:lineRule="auto"/>
        <w:rPr>
          <w:rFonts w:ascii="Times New Roman" w:hAnsi="Times New Roman" w:cs="Times New Roman"/>
          <w:b/>
          <w:i/>
          <w:color w:val="000000" w:themeColor="text1"/>
          <w:sz w:val="22"/>
          <w:szCs w:val="22"/>
        </w:rPr>
      </w:pPr>
    </w:p>
    <w:p w14:paraId="7DA97ABC" w14:textId="77777777" w:rsidR="003E2A30" w:rsidRDefault="003E2A30" w:rsidP="00FB66F0">
      <w:pPr>
        <w:spacing w:line="360" w:lineRule="auto"/>
        <w:rPr>
          <w:rFonts w:ascii="Times New Roman" w:hAnsi="Times New Roman" w:cs="Times New Roman"/>
          <w:b/>
          <w:i/>
          <w:color w:val="000000" w:themeColor="text1"/>
          <w:sz w:val="22"/>
          <w:szCs w:val="22"/>
        </w:rPr>
      </w:pPr>
    </w:p>
    <w:p w14:paraId="69D67A9A" w14:textId="77777777" w:rsidR="003E2A30" w:rsidRDefault="003E2A30" w:rsidP="00FB66F0">
      <w:pPr>
        <w:spacing w:line="360" w:lineRule="auto"/>
        <w:rPr>
          <w:rFonts w:ascii="Times New Roman" w:hAnsi="Times New Roman" w:cs="Times New Roman"/>
          <w:b/>
          <w:i/>
          <w:color w:val="000000" w:themeColor="text1"/>
          <w:sz w:val="22"/>
          <w:szCs w:val="22"/>
        </w:rPr>
      </w:pPr>
    </w:p>
    <w:p w14:paraId="642A4CF8" w14:textId="77777777" w:rsidR="003E2A30" w:rsidRDefault="003E2A30" w:rsidP="00FB66F0">
      <w:pPr>
        <w:spacing w:line="360" w:lineRule="auto"/>
        <w:rPr>
          <w:rFonts w:ascii="Times New Roman" w:hAnsi="Times New Roman" w:cs="Times New Roman"/>
          <w:b/>
          <w:i/>
          <w:color w:val="000000" w:themeColor="text1"/>
          <w:sz w:val="22"/>
          <w:szCs w:val="22"/>
        </w:rPr>
      </w:pPr>
    </w:p>
    <w:p w14:paraId="45D7BCEE" w14:textId="77777777" w:rsidR="003E2A30" w:rsidRDefault="003E2A30" w:rsidP="00FB66F0">
      <w:pPr>
        <w:spacing w:line="360" w:lineRule="auto"/>
        <w:rPr>
          <w:rFonts w:ascii="Times New Roman" w:hAnsi="Times New Roman" w:cs="Times New Roman"/>
          <w:b/>
          <w:i/>
          <w:color w:val="000000" w:themeColor="text1"/>
          <w:sz w:val="22"/>
          <w:szCs w:val="22"/>
        </w:rPr>
      </w:pPr>
    </w:p>
    <w:p w14:paraId="0077D373" w14:textId="77777777" w:rsidR="003E2A30" w:rsidRDefault="003E2A30" w:rsidP="00FB66F0">
      <w:pPr>
        <w:spacing w:line="360" w:lineRule="auto"/>
        <w:rPr>
          <w:rFonts w:ascii="Times New Roman" w:hAnsi="Times New Roman" w:cs="Times New Roman"/>
          <w:b/>
          <w:i/>
          <w:color w:val="000000" w:themeColor="text1"/>
          <w:sz w:val="22"/>
          <w:szCs w:val="22"/>
        </w:rPr>
      </w:pPr>
    </w:p>
    <w:p w14:paraId="0FF7A637" w14:textId="77777777" w:rsidR="003E2A30" w:rsidRDefault="003E2A30" w:rsidP="00FB66F0">
      <w:pPr>
        <w:spacing w:line="360" w:lineRule="auto"/>
        <w:rPr>
          <w:rFonts w:ascii="Times New Roman" w:hAnsi="Times New Roman" w:cs="Times New Roman"/>
          <w:b/>
          <w:i/>
          <w:color w:val="000000" w:themeColor="text1"/>
          <w:sz w:val="22"/>
          <w:szCs w:val="22"/>
        </w:rPr>
      </w:pPr>
    </w:p>
    <w:p w14:paraId="2AB051BE" w14:textId="77777777" w:rsidR="003E2A30" w:rsidRDefault="003E2A30" w:rsidP="00FB66F0">
      <w:pPr>
        <w:spacing w:line="360" w:lineRule="auto"/>
        <w:rPr>
          <w:rFonts w:ascii="Times New Roman" w:hAnsi="Times New Roman" w:cs="Times New Roman"/>
          <w:b/>
          <w:i/>
          <w:color w:val="000000" w:themeColor="text1"/>
          <w:sz w:val="22"/>
          <w:szCs w:val="22"/>
        </w:rPr>
      </w:pPr>
    </w:p>
    <w:p w14:paraId="493CA91F" w14:textId="77777777" w:rsidR="003E2A30" w:rsidRDefault="003E2A30" w:rsidP="00FB66F0">
      <w:pPr>
        <w:spacing w:line="360" w:lineRule="auto"/>
        <w:rPr>
          <w:rFonts w:ascii="Times New Roman" w:hAnsi="Times New Roman" w:cs="Times New Roman"/>
          <w:b/>
          <w:i/>
          <w:color w:val="000000" w:themeColor="text1"/>
          <w:sz w:val="22"/>
          <w:szCs w:val="22"/>
        </w:rPr>
      </w:pPr>
    </w:p>
    <w:p w14:paraId="3730EA35" w14:textId="77777777" w:rsidR="003E2A30" w:rsidRDefault="003E2A30" w:rsidP="00FB66F0">
      <w:pPr>
        <w:spacing w:line="360" w:lineRule="auto"/>
        <w:rPr>
          <w:rFonts w:ascii="Times New Roman" w:hAnsi="Times New Roman" w:cs="Times New Roman"/>
          <w:b/>
          <w:i/>
          <w:color w:val="000000" w:themeColor="text1"/>
          <w:sz w:val="22"/>
          <w:szCs w:val="22"/>
        </w:rPr>
      </w:pPr>
    </w:p>
    <w:p w14:paraId="4C0F6ADE" w14:textId="77777777" w:rsidR="00EE53C1" w:rsidRPr="00FB66F0" w:rsidRDefault="00EE53C1" w:rsidP="003E2A30">
      <w:pPr>
        <w:spacing w:line="360" w:lineRule="auto"/>
        <w:jc w:val="right"/>
        <w:rPr>
          <w:rFonts w:ascii="Times New Roman" w:eastAsiaTheme="majorEastAsia" w:hAnsi="Times New Roman" w:cs="Times New Roman"/>
          <w:bCs/>
          <w:i/>
          <w:color w:val="000000" w:themeColor="text1"/>
          <w:sz w:val="22"/>
          <w:szCs w:val="22"/>
          <w:lang w:bidi="en-US"/>
        </w:rPr>
      </w:pPr>
      <w:r w:rsidRPr="00FB66F0">
        <w:rPr>
          <w:rFonts w:ascii="Times New Roman" w:hAnsi="Times New Roman" w:cs="Times New Roman"/>
          <w:b/>
          <w:i/>
          <w:color w:val="000000" w:themeColor="text1"/>
          <w:sz w:val="22"/>
          <w:szCs w:val="22"/>
        </w:rPr>
        <w:br w:type="page"/>
      </w:r>
    </w:p>
    <w:p w14:paraId="3AC0F5C2" w14:textId="2C01F2E2" w:rsidR="00FB66F0" w:rsidRPr="00FB66F0" w:rsidRDefault="00FB66F0" w:rsidP="005E0DE5">
      <w:pPr>
        <w:pStyle w:val="Heading1"/>
        <w:spacing w:line="360" w:lineRule="auto"/>
        <w:jc w:val="center"/>
        <w:rPr>
          <w:rFonts w:ascii="Times New Roman" w:hAnsi="Times New Roman" w:cs="Times New Roman"/>
          <w:b w:val="0"/>
          <w:color w:val="000000" w:themeColor="text1"/>
          <w:sz w:val="22"/>
          <w:szCs w:val="22"/>
        </w:rPr>
      </w:pPr>
      <w:r w:rsidRPr="00FB66F0">
        <w:rPr>
          <w:rFonts w:ascii="Times New Roman" w:hAnsi="Times New Roman" w:cs="Times New Roman"/>
          <w:b w:val="0"/>
          <w:color w:val="000000" w:themeColor="text1"/>
          <w:sz w:val="22"/>
          <w:szCs w:val="22"/>
        </w:rPr>
        <w:t>Bibliography</w:t>
      </w:r>
    </w:p>
    <w:p w14:paraId="72D1D6E7" w14:textId="17A0E41A" w:rsidR="00AD4FCE" w:rsidRPr="00FB66F0" w:rsidRDefault="00AD4FCE" w:rsidP="00FB66F0">
      <w:pPr>
        <w:pStyle w:val="Heading1"/>
        <w:spacing w:line="360" w:lineRule="auto"/>
        <w:rPr>
          <w:rFonts w:ascii="Times New Roman" w:hAnsi="Times New Roman" w:cs="Times New Roman"/>
          <w:b w:val="0"/>
          <w:color w:val="000000" w:themeColor="text1"/>
          <w:sz w:val="22"/>
          <w:szCs w:val="22"/>
        </w:rPr>
      </w:pPr>
      <w:r w:rsidRPr="00FB66F0">
        <w:rPr>
          <w:rFonts w:ascii="Times New Roman" w:hAnsi="Times New Roman" w:cs="Times New Roman"/>
          <w:b w:val="0"/>
          <w:i/>
          <w:color w:val="000000" w:themeColor="text1"/>
          <w:sz w:val="22"/>
          <w:szCs w:val="22"/>
        </w:rPr>
        <w:t>Media La</w:t>
      </w:r>
      <w:r w:rsidR="001D42D6" w:rsidRPr="00FB66F0">
        <w:rPr>
          <w:rFonts w:ascii="Times New Roman" w:hAnsi="Times New Roman" w:cs="Times New Roman"/>
          <w:b w:val="0"/>
          <w:i/>
          <w:color w:val="000000" w:themeColor="text1"/>
          <w:sz w:val="22"/>
          <w:szCs w:val="22"/>
        </w:rPr>
        <w:t>wyer</w:t>
      </w:r>
      <w:r w:rsidR="009717B5" w:rsidRPr="00FB66F0">
        <w:rPr>
          <w:rFonts w:ascii="Times New Roman" w:hAnsi="Times New Roman" w:cs="Times New Roman"/>
          <w:b w:val="0"/>
          <w:color w:val="000000" w:themeColor="text1"/>
          <w:sz w:val="22"/>
          <w:szCs w:val="22"/>
        </w:rPr>
        <w:t xml:space="preserve"> [online]. Available at: </w:t>
      </w:r>
      <w:hyperlink r:id="rId7" w:history="1">
        <w:r w:rsidR="009717B5" w:rsidRPr="00FB66F0">
          <w:rPr>
            <w:rStyle w:val="Hyperlink"/>
            <w:rFonts w:ascii="Times New Roman" w:hAnsi="Times New Roman" w:cs="Times New Roman"/>
            <w:b w:val="0"/>
            <w:color w:val="000000" w:themeColor="text1"/>
            <w:sz w:val="22"/>
            <w:szCs w:val="22"/>
          </w:rPr>
          <w:t>http://medialawyer.press.net/article.jsp?id=19756901</w:t>
        </w:r>
      </w:hyperlink>
    </w:p>
    <w:p w14:paraId="6EF455AD" w14:textId="6FF0DE83" w:rsidR="009717B5" w:rsidRPr="00FB66F0" w:rsidRDefault="009717B5" w:rsidP="00FB66F0">
      <w:pPr>
        <w:spacing w:line="360" w:lineRule="auto"/>
        <w:ind w:left="720"/>
        <w:rPr>
          <w:rFonts w:ascii="Times New Roman" w:hAnsi="Times New Roman" w:cs="Times New Roman"/>
          <w:sz w:val="22"/>
          <w:szCs w:val="22"/>
        </w:rPr>
      </w:pPr>
      <w:r w:rsidRPr="00FB66F0">
        <w:rPr>
          <w:rFonts w:ascii="Times New Roman" w:hAnsi="Times New Roman" w:cs="Times New Roman"/>
          <w:sz w:val="22"/>
          <w:szCs w:val="22"/>
        </w:rPr>
        <w:t>[Accessed 5 December 2018]</w:t>
      </w:r>
    </w:p>
    <w:p w14:paraId="069545EC" w14:textId="02C4A37F" w:rsidR="009717B5" w:rsidRPr="00FB66F0" w:rsidRDefault="009717B5" w:rsidP="00FB66F0">
      <w:pPr>
        <w:spacing w:line="360" w:lineRule="auto"/>
        <w:ind w:left="720" w:hanging="720"/>
        <w:rPr>
          <w:rFonts w:ascii="Times New Roman" w:hAnsi="Times New Roman" w:cs="Times New Roman"/>
          <w:sz w:val="22"/>
          <w:szCs w:val="22"/>
        </w:rPr>
      </w:pPr>
      <w:r w:rsidRPr="00FB66F0">
        <w:rPr>
          <w:rFonts w:ascii="Times New Roman" w:hAnsi="Times New Roman" w:cs="Times New Roman"/>
          <w:sz w:val="22"/>
          <w:szCs w:val="22"/>
        </w:rPr>
        <w:t xml:space="preserve">Bloy, D. 2018. </w:t>
      </w:r>
      <w:r w:rsidRPr="00FB66F0">
        <w:rPr>
          <w:rFonts w:ascii="Times New Roman" w:hAnsi="Times New Roman" w:cs="Times New Roman"/>
          <w:i/>
          <w:sz w:val="22"/>
          <w:szCs w:val="22"/>
        </w:rPr>
        <w:t>Defamation Guidance Notes</w:t>
      </w:r>
      <w:r w:rsidRPr="00FB66F0">
        <w:rPr>
          <w:rFonts w:ascii="Times New Roman" w:hAnsi="Times New Roman" w:cs="Times New Roman"/>
          <w:sz w:val="22"/>
          <w:szCs w:val="22"/>
        </w:rPr>
        <w:t>. Cardiff: Cardiff University, School of Journalism, Media and Culture</w:t>
      </w:r>
    </w:p>
    <w:p w14:paraId="6F542D0D" w14:textId="77777777" w:rsidR="009717B5" w:rsidRPr="00FB66F0" w:rsidRDefault="009717B5" w:rsidP="00FB66F0">
      <w:pPr>
        <w:spacing w:line="360" w:lineRule="auto"/>
        <w:ind w:left="720" w:hanging="720"/>
        <w:rPr>
          <w:rFonts w:ascii="Times New Roman" w:hAnsi="Times New Roman" w:cs="Times New Roman"/>
          <w:sz w:val="22"/>
          <w:szCs w:val="22"/>
        </w:rPr>
      </w:pPr>
      <w:r w:rsidRPr="00FB66F0">
        <w:rPr>
          <w:rFonts w:ascii="Times New Roman" w:hAnsi="Times New Roman" w:cs="Times New Roman"/>
          <w:sz w:val="22"/>
          <w:szCs w:val="22"/>
        </w:rPr>
        <w:t xml:space="preserve">Bloy, D. 2018. </w:t>
      </w:r>
      <w:r w:rsidRPr="00FB66F0">
        <w:rPr>
          <w:rFonts w:ascii="Times New Roman" w:hAnsi="Times New Roman" w:cs="Times New Roman"/>
          <w:i/>
          <w:sz w:val="22"/>
          <w:szCs w:val="22"/>
        </w:rPr>
        <w:t>Lecture Notes</w:t>
      </w:r>
      <w:r w:rsidRPr="00FB66F0">
        <w:rPr>
          <w:rFonts w:ascii="Times New Roman" w:hAnsi="Times New Roman" w:cs="Times New Roman"/>
          <w:sz w:val="22"/>
          <w:szCs w:val="22"/>
        </w:rPr>
        <w:t xml:space="preserve">. </w:t>
      </w:r>
      <w:r w:rsidRPr="00FB66F0">
        <w:rPr>
          <w:rFonts w:ascii="Times New Roman" w:hAnsi="Times New Roman" w:cs="Times New Roman"/>
          <w:sz w:val="22"/>
          <w:szCs w:val="22"/>
        </w:rPr>
        <w:t>Cardiff: Cardiff University, School of Journalism, Media and Culture</w:t>
      </w:r>
    </w:p>
    <w:p w14:paraId="51983947" w14:textId="17038B72" w:rsidR="009717B5" w:rsidRPr="00FB66F0" w:rsidRDefault="009717B5" w:rsidP="00FB66F0">
      <w:pPr>
        <w:spacing w:line="360" w:lineRule="auto"/>
        <w:ind w:left="720" w:hanging="720"/>
        <w:rPr>
          <w:rFonts w:ascii="Times New Roman" w:hAnsi="Times New Roman" w:cs="Times New Roman"/>
          <w:sz w:val="22"/>
          <w:szCs w:val="22"/>
        </w:rPr>
      </w:pPr>
      <w:r w:rsidRPr="00FB66F0">
        <w:rPr>
          <w:rFonts w:ascii="Times New Roman" w:hAnsi="Times New Roman" w:cs="Times New Roman"/>
          <w:sz w:val="22"/>
          <w:szCs w:val="22"/>
        </w:rPr>
        <w:t xml:space="preserve">Bloy, D. &amp; </w:t>
      </w:r>
      <w:proofErr w:type="spellStart"/>
      <w:r w:rsidRPr="00FB66F0">
        <w:rPr>
          <w:rFonts w:ascii="Times New Roman" w:hAnsi="Times New Roman" w:cs="Times New Roman"/>
          <w:sz w:val="22"/>
          <w:szCs w:val="22"/>
        </w:rPr>
        <w:t>Hadwin</w:t>
      </w:r>
      <w:proofErr w:type="spellEnd"/>
      <w:r w:rsidRPr="00FB66F0">
        <w:rPr>
          <w:rFonts w:ascii="Times New Roman" w:hAnsi="Times New Roman" w:cs="Times New Roman"/>
          <w:sz w:val="22"/>
          <w:szCs w:val="22"/>
        </w:rPr>
        <w:t xml:space="preserve">, S. 2011. </w:t>
      </w:r>
      <w:r w:rsidRPr="00FB66F0">
        <w:rPr>
          <w:rFonts w:ascii="Times New Roman" w:hAnsi="Times New Roman" w:cs="Times New Roman"/>
          <w:i/>
          <w:sz w:val="22"/>
          <w:szCs w:val="22"/>
        </w:rPr>
        <w:t>Law and Media; for print, broadcast and online journalism</w:t>
      </w:r>
      <w:r w:rsidRPr="00FB66F0">
        <w:rPr>
          <w:rFonts w:ascii="Times New Roman" w:hAnsi="Times New Roman" w:cs="Times New Roman"/>
          <w:sz w:val="22"/>
          <w:szCs w:val="22"/>
        </w:rPr>
        <w:t>. 2</w:t>
      </w:r>
      <w:r w:rsidR="00EE53C1" w:rsidRPr="00FB66F0">
        <w:rPr>
          <w:rFonts w:ascii="Times New Roman" w:hAnsi="Times New Roman" w:cs="Times New Roman"/>
          <w:sz w:val="22"/>
          <w:szCs w:val="22"/>
        </w:rPr>
        <w:t xml:space="preserve"> </w:t>
      </w:r>
      <w:r w:rsidRPr="00FB66F0">
        <w:rPr>
          <w:rFonts w:ascii="Times New Roman" w:hAnsi="Times New Roman" w:cs="Times New Roman"/>
          <w:sz w:val="22"/>
          <w:szCs w:val="22"/>
        </w:rPr>
        <w:t>ed. London: Sweet &amp; Maxwell.</w:t>
      </w:r>
    </w:p>
    <w:p w14:paraId="42A9A264" w14:textId="26C6D5FA" w:rsidR="009717B5" w:rsidRPr="00FB66F0" w:rsidRDefault="009717B5" w:rsidP="00FB66F0">
      <w:pPr>
        <w:spacing w:line="360" w:lineRule="auto"/>
        <w:ind w:left="720" w:hanging="720"/>
        <w:rPr>
          <w:rFonts w:ascii="Times New Roman" w:hAnsi="Times New Roman" w:cs="Times New Roman"/>
          <w:sz w:val="22"/>
          <w:szCs w:val="22"/>
        </w:rPr>
      </w:pPr>
      <w:r w:rsidRPr="00FB66F0">
        <w:rPr>
          <w:rFonts w:ascii="Times New Roman" w:hAnsi="Times New Roman" w:cs="Times New Roman"/>
          <w:i/>
          <w:sz w:val="22"/>
          <w:szCs w:val="22"/>
        </w:rPr>
        <w:t>Broadcasting Act</w:t>
      </w:r>
      <w:r w:rsidR="00EE53C1" w:rsidRPr="00FB66F0">
        <w:rPr>
          <w:rFonts w:ascii="Times New Roman" w:hAnsi="Times New Roman" w:cs="Times New Roman"/>
          <w:i/>
          <w:sz w:val="22"/>
          <w:szCs w:val="22"/>
        </w:rPr>
        <w:t xml:space="preserve"> </w:t>
      </w:r>
      <w:r w:rsidR="00EE53C1" w:rsidRPr="00FB66F0">
        <w:rPr>
          <w:rFonts w:ascii="Times New Roman" w:hAnsi="Times New Roman" w:cs="Times New Roman"/>
          <w:sz w:val="22"/>
          <w:szCs w:val="22"/>
        </w:rPr>
        <w:t>(1990).</w:t>
      </w:r>
    </w:p>
    <w:p w14:paraId="76058542" w14:textId="4CE623F2" w:rsidR="00EE53C1" w:rsidRPr="00FB66F0" w:rsidRDefault="00EE53C1" w:rsidP="00FB66F0">
      <w:pPr>
        <w:spacing w:line="360" w:lineRule="auto"/>
        <w:ind w:left="720" w:hanging="720"/>
        <w:rPr>
          <w:rFonts w:ascii="Times New Roman" w:hAnsi="Times New Roman" w:cs="Times New Roman"/>
          <w:sz w:val="22"/>
          <w:szCs w:val="22"/>
        </w:rPr>
      </w:pPr>
      <w:r w:rsidRPr="00FB66F0">
        <w:rPr>
          <w:rFonts w:ascii="Times New Roman" w:hAnsi="Times New Roman" w:cs="Times New Roman"/>
          <w:i/>
          <w:sz w:val="22"/>
          <w:szCs w:val="22"/>
        </w:rPr>
        <w:t>Clifford v Trump</w:t>
      </w:r>
      <w:r w:rsidRPr="00FB66F0">
        <w:rPr>
          <w:rFonts w:ascii="Times New Roman" w:hAnsi="Times New Roman" w:cs="Times New Roman"/>
          <w:sz w:val="22"/>
          <w:szCs w:val="22"/>
        </w:rPr>
        <w:t xml:space="preserve"> (2018)</w:t>
      </w:r>
    </w:p>
    <w:p w14:paraId="23A5B2BE" w14:textId="240D3AAF" w:rsidR="00EE53C1" w:rsidRPr="00FB66F0" w:rsidRDefault="00EE53C1" w:rsidP="00FB66F0">
      <w:pPr>
        <w:spacing w:line="360" w:lineRule="auto"/>
        <w:ind w:left="720" w:hanging="720"/>
        <w:rPr>
          <w:rFonts w:ascii="Times New Roman" w:hAnsi="Times New Roman" w:cs="Times New Roman"/>
          <w:sz w:val="22"/>
          <w:szCs w:val="22"/>
        </w:rPr>
      </w:pPr>
      <w:r w:rsidRPr="00FB66F0">
        <w:rPr>
          <w:rFonts w:ascii="Times New Roman" w:hAnsi="Times New Roman" w:cs="Times New Roman"/>
          <w:i/>
          <w:sz w:val="22"/>
          <w:szCs w:val="22"/>
        </w:rPr>
        <w:t>Economou v de Freita</w:t>
      </w:r>
      <w:r w:rsidRPr="00FB66F0">
        <w:rPr>
          <w:rFonts w:ascii="Times New Roman" w:hAnsi="Times New Roman" w:cs="Times New Roman"/>
          <w:sz w:val="22"/>
          <w:szCs w:val="22"/>
        </w:rPr>
        <w:t xml:space="preserve"> (2018).</w:t>
      </w:r>
    </w:p>
    <w:p w14:paraId="19E29224" w14:textId="490E79D9" w:rsidR="00EE53C1" w:rsidRPr="00FB66F0" w:rsidRDefault="00EE53C1" w:rsidP="00FB66F0">
      <w:pPr>
        <w:spacing w:line="360" w:lineRule="auto"/>
        <w:ind w:left="720" w:hanging="720"/>
        <w:rPr>
          <w:rFonts w:ascii="Times New Roman" w:hAnsi="Times New Roman" w:cs="Times New Roman"/>
          <w:sz w:val="22"/>
          <w:szCs w:val="22"/>
        </w:rPr>
      </w:pPr>
      <w:r w:rsidRPr="00FB66F0">
        <w:rPr>
          <w:rFonts w:ascii="Times New Roman" w:hAnsi="Times New Roman" w:cs="Times New Roman"/>
          <w:sz w:val="22"/>
          <w:szCs w:val="22"/>
        </w:rPr>
        <w:t xml:space="preserve">Quinn, F. 2018. </w:t>
      </w:r>
      <w:r w:rsidRPr="00FB66F0">
        <w:rPr>
          <w:rFonts w:ascii="Times New Roman" w:hAnsi="Times New Roman" w:cs="Times New Roman"/>
          <w:i/>
          <w:sz w:val="22"/>
          <w:szCs w:val="22"/>
        </w:rPr>
        <w:t>Law for Journalists; A guide to media law</w:t>
      </w:r>
      <w:r w:rsidRPr="00FB66F0">
        <w:rPr>
          <w:rFonts w:ascii="Times New Roman" w:hAnsi="Times New Roman" w:cs="Times New Roman"/>
          <w:sz w:val="22"/>
          <w:szCs w:val="22"/>
        </w:rPr>
        <w:t>. 6 ed. Harlow: Pearson.</w:t>
      </w:r>
    </w:p>
    <w:p w14:paraId="09AF3A81" w14:textId="06839F71" w:rsidR="00EE53C1" w:rsidRPr="00FB66F0" w:rsidRDefault="00EE53C1" w:rsidP="00FB66F0">
      <w:pPr>
        <w:spacing w:line="360" w:lineRule="auto"/>
        <w:ind w:left="720" w:hanging="720"/>
        <w:rPr>
          <w:rFonts w:ascii="Times New Roman" w:hAnsi="Times New Roman" w:cs="Times New Roman"/>
          <w:sz w:val="22"/>
          <w:szCs w:val="22"/>
        </w:rPr>
      </w:pPr>
      <w:r w:rsidRPr="00FB66F0">
        <w:rPr>
          <w:rFonts w:ascii="Times New Roman" w:hAnsi="Times New Roman" w:cs="Times New Roman"/>
          <w:i/>
          <w:sz w:val="22"/>
          <w:szCs w:val="22"/>
        </w:rPr>
        <w:t>Theaters Act</w:t>
      </w:r>
      <w:r w:rsidRPr="00FB66F0">
        <w:rPr>
          <w:rFonts w:ascii="Times New Roman" w:hAnsi="Times New Roman" w:cs="Times New Roman"/>
          <w:sz w:val="22"/>
          <w:szCs w:val="22"/>
        </w:rPr>
        <w:t xml:space="preserve"> (1968)</w:t>
      </w:r>
    </w:p>
    <w:sectPr w:rsidR="00EE53C1" w:rsidRPr="00FB66F0" w:rsidSect="00072F8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0DB57" w14:textId="77777777" w:rsidR="008B5164" w:rsidRDefault="008B5164" w:rsidP="00DE0F8B">
      <w:r>
        <w:separator/>
      </w:r>
    </w:p>
  </w:endnote>
  <w:endnote w:type="continuationSeparator" w:id="0">
    <w:p w14:paraId="320CC742" w14:textId="77777777" w:rsidR="008B5164" w:rsidRDefault="008B5164" w:rsidP="00DE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2C820" w14:textId="77777777" w:rsidR="008532AC" w:rsidRDefault="008532AC" w:rsidP="00DB78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CED0F2" w14:textId="77777777" w:rsidR="008532AC" w:rsidRDefault="008532AC" w:rsidP="008532A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953E16B44A7DD843B9AE49668B1609F9"/>
      </w:placeholder>
      <w:temporary/>
      <w:showingPlcHdr/>
      <w15:appearance w15:val="hidden"/>
    </w:sdtPr>
    <w:sdtContent>
      <w:p w14:paraId="43F71D13" w14:textId="77777777" w:rsidR="003E2A30" w:rsidRDefault="003E2A30">
        <w:pPr>
          <w:pStyle w:val="Footer"/>
        </w:pPr>
        <w:r>
          <w:t>[Type here]</w:t>
        </w:r>
      </w:p>
    </w:sdtContent>
  </w:sdt>
  <w:p w14:paraId="3AB71013" w14:textId="77777777" w:rsidR="008532AC" w:rsidRDefault="008532AC" w:rsidP="008532A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5FCF7" w14:textId="77777777" w:rsidR="008B5164" w:rsidRDefault="008B5164" w:rsidP="00DE0F8B">
      <w:r>
        <w:separator/>
      </w:r>
    </w:p>
  </w:footnote>
  <w:footnote w:type="continuationSeparator" w:id="0">
    <w:p w14:paraId="4E0A5503" w14:textId="77777777" w:rsidR="008B5164" w:rsidRDefault="008B5164" w:rsidP="00DE0F8B">
      <w:r>
        <w:continuationSeparator/>
      </w:r>
    </w:p>
  </w:footnote>
  <w:footnote w:id="1">
    <w:p w14:paraId="4E9F681B" w14:textId="4872B835" w:rsidR="00223515" w:rsidRPr="00BD1D63" w:rsidRDefault="00223515">
      <w:pPr>
        <w:pStyle w:val="FootnoteText"/>
        <w:rPr>
          <w:rFonts w:ascii="Times New Roman" w:hAnsi="Times New Roman" w:cs="Times New Roman"/>
          <w:noProof/>
          <w:sz w:val="22"/>
          <w:szCs w:val="22"/>
          <w:lang w:val="en-GB"/>
        </w:rPr>
      </w:pPr>
      <w:r w:rsidRPr="00BD1D63">
        <w:rPr>
          <w:rStyle w:val="FootnoteReference"/>
          <w:rFonts w:ascii="Times New Roman" w:hAnsi="Times New Roman" w:cs="Times New Roman"/>
          <w:sz w:val="22"/>
          <w:szCs w:val="22"/>
        </w:rPr>
        <w:footnoteRef/>
      </w:r>
      <w:r w:rsidRPr="00BD1D63">
        <w:rPr>
          <w:rFonts w:ascii="Times New Roman" w:hAnsi="Times New Roman" w:cs="Times New Roman"/>
          <w:sz w:val="22"/>
          <w:szCs w:val="22"/>
        </w:rPr>
        <w:t xml:space="preserve"> </w:t>
      </w:r>
      <w:r w:rsidR="00D651D3" w:rsidRPr="00BD1D63">
        <w:rPr>
          <w:rFonts w:ascii="Times New Roman" w:hAnsi="Times New Roman" w:cs="Times New Roman"/>
          <w:noProof/>
          <w:sz w:val="22"/>
          <w:szCs w:val="22"/>
          <w:lang w:val="en-GB"/>
        </w:rPr>
        <w:t>Broadcasting Act, 1990</w:t>
      </w:r>
      <w:r w:rsidR="00D651D3" w:rsidRPr="00BD1D63">
        <w:rPr>
          <w:rFonts w:ascii="Times New Roman" w:hAnsi="Times New Roman" w:cs="Times New Roman"/>
          <w:noProof/>
          <w:sz w:val="22"/>
          <w:szCs w:val="22"/>
          <w:lang w:val="en-GB"/>
        </w:rPr>
        <w:t xml:space="preserve">: </w:t>
      </w:r>
      <w:r w:rsidR="00F426E7" w:rsidRPr="00BD1D63">
        <w:rPr>
          <w:rFonts w:ascii="Times New Roman" w:hAnsi="Times New Roman" w:cs="Times New Roman"/>
          <w:sz w:val="22"/>
          <w:szCs w:val="22"/>
        </w:rPr>
        <w:t xml:space="preserve">Part VII prohibits any defamatory material from being broadcasted </w:t>
      </w:r>
    </w:p>
    <w:p w14:paraId="21598512" w14:textId="77777777" w:rsidR="00F426E7" w:rsidRPr="00BD1D63" w:rsidRDefault="00F426E7">
      <w:pPr>
        <w:pStyle w:val="FootnoteText"/>
        <w:rPr>
          <w:rFonts w:ascii="Times New Roman" w:hAnsi="Times New Roman" w:cs="Times New Roman"/>
          <w:sz w:val="22"/>
          <w:szCs w:val="22"/>
        </w:rPr>
      </w:pPr>
    </w:p>
  </w:footnote>
  <w:footnote w:id="2">
    <w:p w14:paraId="4A44E5AF" w14:textId="632CBEE3" w:rsidR="00223515" w:rsidRPr="00BD1D63" w:rsidRDefault="00223515">
      <w:pPr>
        <w:pStyle w:val="FootnoteText"/>
        <w:rPr>
          <w:rFonts w:ascii="Times New Roman" w:hAnsi="Times New Roman" w:cs="Times New Roman"/>
          <w:sz w:val="22"/>
          <w:szCs w:val="22"/>
          <w:lang w:val="en-GB"/>
        </w:rPr>
      </w:pPr>
      <w:r w:rsidRPr="00BD1D63">
        <w:rPr>
          <w:rStyle w:val="FootnoteReference"/>
          <w:rFonts w:ascii="Times New Roman" w:hAnsi="Times New Roman" w:cs="Times New Roman"/>
          <w:sz w:val="22"/>
          <w:szCs w:val="22"/>
        </w:rPr>
        <w:footnoteRef/>
      </w:r>
      <w:r w:rsidRPr="00BD1D63">
        <w:rPr>
          <w:rFonts w:ascii="Times New Roman" w:hAnsi="Times New Roman" w:cs="Times New Roman"/>
          <w:sz w:val="22"/>
          <w:szCs w:val="22"/>
        </w:rPr>
        <w:t xml:space="preserve"> </w:t>
      </w:r>
      <w:r w:rsidR="00D651D3" w:rsidRPr="00BD1D63">
        <w:rPr>
          <w:rFonts w:ascii="Times New Roman" w:hAnsi="Times New Roman" w:cs="Times New Roman"/>
          <w:noProof/>
          <w:sz w:val="22"/>
          <w:szCs w:val="22"/>
          <w:lang w:val="en-GB"/>
        </w:rPr>
        <w:t xml:space="preserve">Theaters Act, 1968: </w:t>
      </w:r>
      <w:r w:rsidR="00A44C81" w:rsidRPr="00BD1D63">
        <w:rPr>
          <w:rFonts w:ascii="Times New Roman" w:hAnsi="Times New Roman" w:cs="Times New Roman"/>
          <w:sz w:val="22"/>
          <w:szCs w:val="22"/>
        </w:rPr>
        <w:t>Article 4 states that “publication of words in the course of a performance of a play shall, subject to section 7 of this Act, be treated as publication in permanent form . . . [and] includes pictures, visual images, gestures and other methods of signifying meaning.” Per section 7 of this article, there will be no exceptions for section 4</w:t>
      </w:r>
      <w:r w:rsidR="00D651D3" w:rsidRPr="00BD1D63">
        <w:rPr>
          <w:rFonts w:ascii="Times New Roman" w:hAnsi="Times New Roman" w:cs="Times New Roman"/>
          <w:noProof/>
          <w:sz w:val="22"/>
          <w:szCs w:val="22"/>
          <w:lang w:val="en-GB"/>
        </w:rPr>
        <w:t>.</w:t>
      </w:r>
    </w:p>
  </w:footnote>
  <w:footnote w:id="3">
    <w:p w14:paraId="42CFD516" w14:textId="72C3B0FF" w:rsidR="00E71D77" w:rsidRPr="00BD1D63" w:rsidRDefault="00E71D77">
      <w:pPr>
        <w:pStyle w:val="FootnoteText"/>
        <w:rPr>
          <w:rFonts w:ascii="Times New Roman" w:hAnsi="Times New Roman" w:cs="Times New Roman"/>
          <w:sz w:val="22"/>
          <w:szCs w:val="22"/>
          <w:lang w:val="en-GB"/>
        </w:rPr>
      </w:pPr>
      <w:r w:rsidRPr="00BD1D63">
        <w:rPr>
          <w:rStyle w:val="FootnoteReference"/>
          <w:rFonts w:ascii="Times New Roman" w:hAnsi="Times New Roman" w:cs="Times New Roman"/>
          <w:sz w:val="22"/>
          <w:szCs w:val="22"/>
        </w:rPr>
        <w:footnoteRef/>
      </w:r>
      <w:r w:rsidRPr="00BD1D63">
        <w:rPr>
          <w:rFonts w:ascii="Times New Roman" w:hAnsi="Times New Roman" w:cs="Times New Roman"/>
          <w:sz w:val="22"/>
          <w:szCs w:val="22"/>
        </w:rPr>
        <w:t xml:space="preserve"> </w:t>
      </w:r>
      <w:r w:rsidRPr="00BD1D63">
        <w:rPr>
          <w:rFonts w:ascii="Times New Roman" w:hAnsi="Times New Roman" w:cs="Times New Roman"/>
          <w:sz w:val="22"/>
          <w:szCs w:val="22"/>
        </w:rPr>
        <w:t>Chase v News Group: Miss Elaine Chase sued News Group Newspapers Ltd, for publishing articles accusing her in a way that did not directly naming her, but readers could easily identify her. This case lead to the Chase levels, which have since been used in defamation cases.</w:t>
      </w:r>
    </w:p>
  </w:footnote>
  <w:footnote w:id="4">
    <w:p w14:paraId="04590341" w14:textId="0E0EB4C4" w:rsidR="00623E9A" w:rsidRPr="00BD1D63" w:rsidRDefault="00623E9A">
      <w:pPr>
        <w:pStyle w:val="FootnoteText"/>
        <w:rPr>
          <w:rFonts w:ascii="Times New Roman" w:hAnsi="Times New Roman" w:cs="Times New Roman"/>
          <w:sz w:val="22"/>
          <w:szCs w:val="22"/>
          <w:lang w:val="en-GB"/>
        </w:rPr>
      </w:pPr>
      <w:r w:rsidRPr="00BD1D63">
        <w:rPr>
          <w:rStyle w:val="FootnoteReference"/>
          <w:rFonts w:ascii="Times New Roman" w:hAnsi="Times New Roman" w:cs="Times New Roman"/>
          <w:sz w:val="22"/>
          <w:szCs w:val="22"/>
        </w:rPr>
        <w:footnoteRef/>
      </w:r>
      <w:r w:rsidRPr="00BD1D63">
        <w:rPr>
          <w:rFonts w:ascii="Times New Roman" w:hAnsi="Times New Roman" w:cs="Times New Roman"/>
          <w:sz w:val="22"/>
          <w:szCs w:val="22"/>
        </w:rPr>
        <w:t xml:space="preserve"> </w:t>
      </w:r>
      <w:r w:rsidR="000E46A5" w:rsidRPr="00BD1D63">
        <w:rPr>
          <w:rFonts w:ascii="Times New Roman" w:hAnsi="Times New Roman" w:cs="Times New Roman"/>
          <w:sz w:val="22"/>
          <w:szCs w:val="22"/>
          <w:lang w:val="en-GB"/>
        </w:rPr>
        <w:t>Economou v de Fr</w:t>
      </w:r>
      <w:r w:rsidR="00101F61" w:rsidRPr="00BD1D63">
        <w:rPr>
          <w:rFonts w:ascii="Times New Roman" w:hAnsi="Times New Roman" w:cs="Times New Roman"/>
          <w:sz w:val="22"/>
          <w:szCs w:val="22"/>
          <w:lang w:val="en-GB"/>
        </w:rPr>
        <w:t>e</w:t>
      </w:r>
      <w:r w:rsidR="000E46A5" w:rsidRPr="00BD1D63">
        <w:rPr>
          <w:rFonts w:ascii="Times New Roman" w:hAnsi="Times New Roman" w:cs="Times New Roman"/>
          <w:sz w:val="22"/>
          <w:szCs w:val="22"/>
          <w:lang w:val="en-GB"/>
        </w:rPr>
        <w:t>i</w:t>
      </w:r>
      <w:r w:rsidR="00101F61" w:rsidRPr="00BD1D63">
        <w:rPr>
          <w:rFonts w:ascii="Times New Roman" w:hAnsi="Times New Roman" w:cs="Times New Roman"/>
          <w:sz w:val="22"/>
          <w:szCs w:val="22"/>
          <w:lang w:val="en-GB"/>
        </w:rPr>
        <w:t>ta</w:t>
      </w:r>
      <w:r w:rsidR="000E46A5" w:rsidRPr="00BD1D63">
        <w:rPr>
          <w:rFonts w:ascii="Times New Roman" w:hAnsi="Times New Roman" w:cs="Times New Roman"/>
          <w:sz w:val="22"/>
          <w:szCs w:val="22"/>
          <w:lang w:val="en-GB"/>
        </w:rPr>
        <w:t>s</w:t>
      </w:r>
      <w:r w:rsidR="00101F61" w:rsidRPr="00BD1D63">
        <w:rPr>
          <w:rFonts w:ascii="Times New Roman" w:hAnsi="Times New Roman" w:cs="Times New Roman"/>
          <w:sz w:val="22"/>
          <w:szCs w:val="22"/>
          <w:lang w:val="en-GB"/>
        </w:rPr>
        <w:t xml:space="preserve"> (2018): Economou filed defamation lawsuit against de Frieta </w:t>
      </w:r>
      <w:r w:rsidR="00C736AD" w:rsidRPr="00BD1D63">
        <w:rPr>
          <w:rFonts w:ascii="Times New Roman" w:hAnsi="Times New Roman" w:cs="Times New Roman"/>
          <w:sz w:val="22"/>
          <w:szCs w:val="22"/>
          <w:lang w:val="en-GB"/>
        </w:rPr>
        <w:t xml:space="preserve">after de </w:t>
      </w:r>
      <w:r w:rsidR="000E46A5" w:rsidRPr="00BD1D63">
        <w:rPr>
          <w:rFonts w:ascii="Times New Roman" w:hAnsi="Times New Roman" w:cs="Times New Roman"/>
          <w:sz w:val="22"/>
          <w:szCs w:val="22"/>
          <w:lang w:val="en-GB"/>
        </w:rPr>
        <w:t>Freitas</w:t>
      </w:r>
      <w:r w:rsidR="00C736AD" w:rsidRPr="00BD1D63">
        <w:rPr>
          <w:rFonts w:ascii="Times New Roman" w:hAnsi="Times New Roman" w:cs="Times New Roman"/>
          <w:sz w:val="22"/>
          <w:szCs w:val="22"/>
          <w:lang w:val="en-GB"/>
        </w:rPr>
        <w:t xml:space="preserve"> </w:t>
      </w:r>
      <w:r w:rsidR="007D2ACB" w:rsidRPr="00BD1D63">
        <w:rPr>
          <w:rFonts w:ascii="Times New Roman" w:hAnsi="Times New Roman" w:cs="Times New Roman"/>
          <w:sz w:val="22"/>
          <w:szCs w:val="22"/>
          <w:lang w:val="en-GB"/>
        </w:rPr>
        <w:t xml:space="preserve">spoke to multiple publications regarding the allegations being made of Economou raping de </w:t>
      </w:r>
      <w:r w:rsidR="000E46A5" w:rsidRPr="00BD1D63">
        <w:rPr>
          <w:rFonts w:ascii="Times New Roman" w:hAnsi="Times New Roman" w:cs="Times New Roman"/>
          <w:sz w:val="22"/>
          <w:szCs w:val="22"/>
          <w:lang w:val="en-GB"/>
        </w:rPr>
        <w:t>Freitas</w:t>
      </w:r>
      <w:r w:rsidR="007D2ACB" w:rsidRPr="00BD1D63">
        <w:rPr>
          <w:rFonts w:ascii="Times New Roman" w:hAnsi="Times New Roman" w:cs="Times New Roman"/>
          <w:sz w:val="22"/>
          <w:szCs w:val="22"/>
          <w:lang w:val="en-GB"/>
        </w:rPr>
        <w:t xml:space="preserve">’ daughter. Economou’s defamation lawsuit was dismissed, and failed to have the dismissal appealed. </w:t>
      </w:r>
    </w:p>
    <w:p w14:paraId="7386077A" w14:textId="77777777" w:rsidR="00B94280" w:rsidRPr="00BD1D63" w:rsidRDefault="00B94280">
      <w:pPr>
        <w:pStyle w:val="FootnoteText"/>
        <w:rPr>
          <w:rFonts w:ascii="Times New Roman" w:hAnsi="Times New Roman" w:cs="Times New Roman"/>
          <w:sz w:val="22"/>
          <w:szCs w:val="22"/>
          <w:lang w:val="en-GB"/>
        </w:rPr>
      </w:pPr>
    </w:p>
  </w:footnote>
  <w:footnote w:id="5">
    <w:p w14:paraId="6EAB3F24" w14:textId="7B64556D" w:rsidR="00B94280" w:rsidRPr="00BD1D63" w:rsidRDefault="00B94280">
      <w:pPr>
        <w:pStyle w:val="FootnoteText"/>
        <w:rPr>
          <w:rFonts w:ascii="Times New Roman" w:hAnsi="Times New Roman" w:cs="Times New Roman"/>
          <w:sz w:val="22"/>
          <w:szCs w:val="22"/>
          <w:lang w:val="en-GB"/>
        </w:rPr>
      </w:pPr>
      <w:r w:rsidRPr="00BD1D63">
        <w:rPr>
          <w:rStyle w:val="FootnoteReference"/>
          <w:rFonts w:ascii="Times New Roman" w:hAnsi="Times New Roman" w:cs="Times New Roman"/>
          <w:sz w:val="22"/>
          <w:szCs w:val="22"/>
        </w:rPr>
        <w:footnoteRef/>
      </w:r>
      <w:r w:rsidRPr="00BD1D63">
        <w:rPr>
          <w:rFonts w:ascii="Times New Roman" w:hAnsi="Times New Roman" w:cs="Times New Roman"/>
          <w:sz w:val="22"/>
          <w:szCs w:val="22"/>
        </w:rPr>
        <w:t xml:space="preserve"> </w:t>
      </w:r>
      <w:r w:rsidR="006C5CD2" w:rsidRPr="00BD1D63">
        <w:rPr>
          <w:rFonts w:ascii="Times New Roman" w:hAnsi="Times New Roman" w:cs="Times New Roman"/>
          <w:sz w:val="22"/>
          <w:szCs w:val="22"/>
        </w:rPr>
        <w:t>N</w:t>
      </w:r>
      <w:r w:rsidRPr="00BD1D63">
        <w:rPr>
          <w:rFonts w:ascii="Times New Roman" w:hAnsi="Times New Roman" w:cs="Times New Roman"/>
          <w:sz w:val="22"/>
          <w:szCs w:val="22"/>
        </w:rPr>
        <w:t>o-fee Conditional Fee Agreements (CFAs) will no longer be able to claim success fees from the loosing parties in defamation and privacy cases</w:t>
      </w:r>
      <w:r w:rsidRPr="00BD1D63">
        <w:rPr>
          <w:rFonts w:ascii="Times New Roman" w:hAnsi="Times New Roman" w:cs="Times New Roman"/>
          <w:sz w:val="22"/>
          <w:szCs w:val="22"/>
        </w:rPr>
        <w:t>. T</w:t>
      </w:r>
      <w:r w:rsidRPr="00BD1D63">
        <w:rPr>
          <w:rFonts w:ascii="Times New Roman" w:hAnsi="Times New Roman" w:cs="Times New Roman"/>
          <w:sz w:val="22"/>
          <w:szCs w:val="22"/>
        </w:rPr>
        <w:t>his ban prevents claimants from having to pay their lawyers double the amount, yet the claimant can still recover the costs of after-the-events (ATE) insurance premiums intended to protect them from having to pay the winning side’s costs</w:t>
      </w:r>
      <w:r w:rsidRPr="00BD1D63">
        <w:rPr>
          <w:rFonts w:ascii="Times New Roman" w:hAnsi="Times New Roman" w:cs="Times New Roman"/>
          <w:sz w:val="22"/>
          <w:szCs w:val="22"/>
        </w:rPr>
        <w:t>.” (</w:t>
      </w:r>
      <w:r w:rsidRPr="00BD1D63">
        <w:rPr>
          <w:rFonts w:ascii="Times New Roman" w:hAnsi="Times New Roman" w:cs="Times New Roman"/>
          <w:sz w:val="22"/>
          <w:szCs w:val="22"/>
        </w:rPr>
        <w:t>Media Lawyer, Dec. 4, 2018</w:t>
      </w:r>
      <w:r w:rsidRPr="00BD1D63">
        <w:rPr>
          <w:rFonts w:ascii="Times New Roman" w:hAnsi="Times New Roman" w:cs="Times New Roman"/>
          <w:sz w:val="22"/>
          <w:szCs w:val="22"/>
        </w:rPr>
        <w:t>)</w:t>
      </w:r>
    </w:p>
  </w:footnote>
  <w:footnote w:id="6">
    <w:p w14:paraId="1ED1A812" w14:textId="77777777" w:rsidR="001C6C01" w:rsidRPr="00BD1D63" w:rsidRDefault="001C6C01" w:rsidP="00FB36E6">
      <w:pPr>
        <w:pStyle w:val="FootnoteText"/>
        <w:tabs>
          <w:tab w:val="left" w:pos="4064"/>
        </w:tabs>
        <w:rPr>
          <w:rFonts w:ascii="Times New Roman" w:hAnsi="Times New Roman" w:cs="Times New Roman"/>
          <w:sz w:val="22"/>
          <w:szCs w:val="22"/>
        </w:rPr>
      </w:pPr>
    </w:p>
    <w:p w14:paraId="34A3947F" w14:textId="77777777" w:rsidR="00FB36E6" w:rsidRPr="00BD1D63" w:rsidRDefault="00FB36E6" w:rsidP="00FB36E6">
      <w:pPr>
        <w:pStyle w:val="FootnoteText"/>
        <w:tabs>
          <w:tab w:val="left" w:pos="4064"/>
        </w:tabs>
        <w:rPr>
          <w:rFonts w:ascii="Times New Roman" w:hAnsi="Times New Roman" w:cs="Times New Roman"/>
          <w:sz w:val="22"/>
          <w:szCs w:val="22"/>
          <w:lang w:val="en-GB"/>
        </w:rPr>
      </w:pPr>
      <w:r w:rsidRPr="00BD1D63">
        <w:rPr>
          <w:rStyle w:val="FootnoteReference"/>
          <w:rFonts w:ascii="Times New Roman" w:hAnsi="Times New Roman" w:cs="Times New Roman"/>
          <w:sz w:val="22"/>
          <w:szCs w:val="22"/>
        </w:rPr>
        <w:footnoteRef/>
      </w:r>
      <w:r w:rsidRPr="00BD1D63">
        <w:rPr>
          <w:rFonts w:ascii="Times New Roman" w:hAnsi="Times New Roman" w:cs="Times New Roman"/>
          <w:sz w:val="22"/>
          <w:szCs w:val="22"/>
        </w:rPr>
        <w:t xml:space="preserve"> </w:t>
      </w:r>
      <w:r w:rsidR="00AA6A9E" w:rsidRPr="00BD1D63">
        <w:rPr>
          <w:rFonts w:ascii="Times New Roman" w:hAnsi="Times New Roman" w:cs="Times New Roman"/>
          <w:sz w:val="22"/>
          <w:szCs w:val="22"/>
        </w:rPr>
        <w:t xml:space="preserve">Clifford v Trump (2018): </w:t>
      </w:r>
      <w:r w:rsidRPr="00BD1D63">
        <w:rPr>
          <w:rFonts w:ascii="Times New Roman" w:hAnsi="Times New Roman" w:cs="Times New Roman"/>
          <w:sz w:val="22"/>
          <w:szCs w:val="22"/>
        </w:rPr>
        <w:t>Stephanie Clifford (Stormy Daniels) sued Donald Trump for defamation after Trump tweeted about Clifford</w:t>
      </w:r>
      <w:r w:rsidRPr="00BD1D63">
        <w:rPr>
          <w:rFonts w:ascii="Times New Roman" w:hAnsi="Times New Roman" w:cs="Times New Roman"/>
          <w:sz w:val="22"/>
          <w:szCs w:val="22"/>
        </w:rPr>
        <w:t>’s allegation. Due to the 1</w:t>
      </w:r>
      <w:r w:rsidRPr="00BD1D63">
        <w:rPr>
          <w:rFonts w:ascii="Times New Roman" w:hAnsi="Times New Roman" w:cs="Times New Roman"/>
          <w:sz w:val="22"/>
          <w:szCs w:val="22"/>
          <w:vertAlign w:val="superscript"/>
        </w:rPr>
        <w:t>st</w:t>
      </w:r>
      <w:r w:rsidRPr="00BD1D63">
        <w:rPr>
          <w:rFonts w:ascii="Times New Roman" w:hAnsi="Times New Roman" w:cs="Times New Roman"/>
          <w:sz w:val="22"/>
          <w:szCs w:val="22"/>
        </w:rPr>
        <w:t xml:space="preserve"> amendment for freedom of speech, the defamation lawsuit was rejected.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DDD30" w14:textId="77777777" w:rsidR="00DE0F8B" w:rsidRPr="00DE0F8B" w:rsidRDefault="00DE0F8B">
    <w:pPr>
      <w:pStyle w:val="Header"/>
      <w:rPr>
        <w:lang w:val="en-GB"/>
      </w:rPr>
    </w:pPr>
    <w:r>
      <w:rPr>
        <w:lang w:val="en-GB"/>
      </w:rPr>
      <w:t>C1876321</w:t>
    </w:r>
    <w:r w:rsidRPr="00DE0F8B">
      <w:rPr>
        <w:lang w:val="en-GB"/>
      </w:rPr>
      <w:ptab w:relativeTo="margin" w:alignment="center" w:leader="none"/>
    </w:r>
    <w:r>
      <w:rPr>
        <w:lang w:val="en-GB"/>
      </w:rPr>
      <w:t>MCT-417</w:t>
    </w:r>
    <w:r w:rsidRPr="00DE0F8B">
      <w:rPr>
        <w:lang w:val="en-GB"/>
      </w:rPr>
      <w:ptab w:relativeTo="margin" w:alignment="right" w:leader="none"/>
    </w:r>
    <w:r>
      <w:rPr>
        <w:lang w:val="en-GB"/>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8B"/>
    <w:rsid w:val="00006F84"/>
    <w:rsid w:val="000611E1"/>
    <w:rsid w:val="00067D78"/>
    <w:rsid w:val="00072F8D"/>
    <w:rsid w:val="000E46A5"/>
    <w:rsid w:val="00101F61"/>
    <w:rsid w:val="001753D4"/>
    <w:rsid w:val="001A1C18"/>
    <w:rsid w:val="001A4179"/>
    <w:rsid w:val="001C6C01"/>
    <w:rsid w:val="001D42D6"/>
    <w:rsid w:val="001E3B4A"/>
    <w:rsid w:val="001E5EEF"/>
    <w:rsid w:val="002159DC"/>
    <w:rsid w:val="00223515"/>
    <w:rsid w:val="00257FEE"/>
    <w:rsid w:val="002704FE"/>
    <w:rsid w:val="00271130"/>
    <w:rsid w:val="00275516"/>
    <w:rsid w:val="0029323C"/>
    <w:rsid w:val="0029503E"/>
    <w:rsid w:val="00296290"/>
    <w:rsid w:val="002B47F3"/>
    <w:rsid w:val="002C510E"/>
    <w:rsid w:val="002D3CF0"/>
    <w:rsid w:val="002F70CB"/>
    <w:rsid w:val="00341C7B"/>
    <w:rsid w:val="00342274"/>
    <w:rsid w:val="00350BF6"/>
    <w:rsid w:val="00394B1C"/>
    <w:rsid w:val="003A1981"/>
    <w:rsid w:val="003E2A30"/>
    <w:rsid w:val="003E3CA5"/>
    <w:rsid w:val="00401470"/>
    <w:rsid w:val="004245E4"/>
    <w:rsid w:val="004707BC"/>
    <w:rsid w:val="0048514C"/>
    <w:rsid w:val="004A718D"/>
    <w:rsid w:val="004D325B"/>
    <w:rsid w:val="004E0056"/>
    <w:rsid w:val="004F7BF3"/>
    <w:rsid w:val="0052027D"/>
    <w:rsid w:val="00526808"/>
    <w:rsid w:val="00537D8F"/>
    <w:rsid w:val="00540940"/>
    <w:rsid w:val="005445B0"/>
    <w:rsid w:val="005501CE"/>
    <w:rsid w:val="00560BDF"/>
    <w:rsid w:val="005A30E2"/>
    <w:rsid w:val="005A62E2"/>
    <w:rsid w:val="005C7A46"/>
    <w:rsid w:val="005E0DE5"/>
    <w:rsid w:val="005E1301"/>
    <w:rsid w:val="00623E9A"/>
    <w:rsid w:val="00633E74"/>
    <w:rsid w:val="0065541F"/>
    <w:rsid w:val="00666BEE"/>
    <w:rsid w:val="00673409"/>
    <w:rsid w:val="006A3557"/>
    <w:rsid w:val="006B3E3C"/>
    <w:rsid w:val="006C5CD2"/>
    <w:rsid w:val="006C76B0"/>
    <w:rsid w:val="006F0A3F"/>
    <w:rsid w:val="00720D5A"/>
    <w:rsid w:val="00726B42"/>
    <w:rsid w:val="007673D1"/>
    <w:rsid w:val="007A44D4"/>
    <w:rsid w:val="007C5B33"/>
    <w:rsid w:val="007D2ACB"/>
    <w:rsid w:val="007F6C68"/>
    <w:rsid w:val="008056E6"/>
    <w:rsid w:val="00844E6C"/>
    <w:rsid w:val="008532AC"/>
    <w:rsid w:val="00855FF4"/>
    <w:rsid w:val="0089100C"/>
    <w:rsid w:val="008932AF"/>
    <w:rsid w:val="008A79FB"/>
    <w:rsid w:val="008B0AA4"/>
    <w:rsid w:val="008B5164"/>
    <w:rsid w:val="008E6C0E"/>
    <w:rsid w:val="008F1E41"/>
    <w:rsid w:val="008F5E0B"/>
    <w:rsid w:val="008F6A23"/>
    <w:rsid w:val="00931E17"/>
    <w:rsid w:val="009615B5"/>
    <w:rsid w:val="00971726"/>
    <w:rsid w:val="009717B5"/>
    <w:rsid w:val="009A2799"/>
    <w:rsid w:val="009C183A"/>
    <w:rsid w:val="009F5A32"/>
    <w:rsid w:val="00A06F8F"/>
    <w:rsid w:val="00A26408"/>
    <w:rsid w:val="00A277FE"/>
    <w:rsid w:val="00A44C81"/>
    <w:rsid w:val="00A71E87"/>
    <w:rsid w:val="00A7425A"/>
    <w:rsid w:val="00A849D7"/>
    <w:rsid w:val="00AA1811"/>
    <w:rsid w:val="00AA6A9E"/>
    <w:rsid w:val="00AB7273"/>
    <w:rsid w:val="00AC4832"/>
    <w:rsid w:val="00AD4FCE"/>
    <w:rsid w:val="00AD6142"/>
    <w:rsid w:val="00B179BC"/>
    <w:rsid w:val="00B21ECA"/>
    <w:rsid w:val="00B22355"/>
    <w:rsid w:val="00B2463E"/>
    <w:rsid w:val="00B566B0"/>
    <w:rsid w:val="00B819E4"/>
    <w:rsid w:val="00B94280"/>
    <w:rsid w:val="00BD1D63"/>
    <w:rsid w:val="00C1348D"/>
    <w:rsid w:val="00C22C55"/>
    <w:rsid w:val="00C378E4"/>
    <w:rsid w:val="00C42F8B"/>
    <w:rsid w:val="00C45E1E"/>
    <w:rsid w:val="00C736AD"/>
    <w:rsid w:val="00C77D78"/>
    <w:rsid w:val="00C877B0"/>
    <w:rsid w:val="00C91EC9"/>
    <w:rsid w:val="00CB3C9B"/>
    <w:rsid w:val="00CF3780"/>
    <w:rsid w:val="00D04AE3"/>
    <w:rsid w:val="00D13506"/>
    <w:rsid w:val="00D62519"/>
    <w:rsid w:val="00D647A4"/>
    <w:rsid w:val="00D651D3"/>
    <w:rsid w:val="00D7091E"/>
    <w:rsid w:val="00D72DCF"/>
    <w:rsid w:val="00D9293F"/>
    <w:rsid w:val="00D94BDA"/>
    <w:rsid w:val="00DA3148"/>
    <w:rsid w:val="00DB2D5D"/>
    <w:rsid w:val="00DC10CD"/>
    <w:rsid w:val="00DC6005"/>
    <w:rsid w:val="00DE0F8B"/>
    <w:rsid w:val="00E0019D"/>
    <w:rsid w:val="00E11346"/>
    <w:rsid w:val="00E71D77"/>
    <w:rsid w:val="00E96CEB"/>
    <w:rsid w:val="00EE0F94"/>
    <w:rsid w:val="00EE53C1"/>
    <w:rsid w:val="00EF0CDC"/>
    <w:rsid w:val="00F13DE3"/>
    <w:rsid w:val="00F204B9"/>
    <w:rsid w:val="00F426E7"/>
    <w:rsid w:val="00F52F73"/>
    <w:rsid w:val="00F53280"/>
    <w:rsid w:val="00F7049B"/>
    <w:rsid w:val="00F8122A"/>
    <w:rsid w:val="00FB36E6"/>
    <w:rsid w:val="00FB62F1"/>
    <w:rsid w:val="00FB66F0"/>
    <w:rsid w:val="00FE39EC"/>
    <w:rsid w:val="00FF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2CFC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0F8B"/>
  </w:style>
  <w:style w:type="paragraph" w:styleId="Heading1">
    <w:name w:val="heading 1"/>
    <w:basedOn w:val="Normal"/>
    <w:next w:val="Normal"/>
    <w:link w:val="Heading1Char"/>
    <w:uiPriority w:val="9"/>
    <w:qFormat/>
    <w:rsid w:val="003A1981"/>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F8B"/>
    <w:pPr>
      <w:tabs>
        <w:tab w:val="center" w:pos="4680"/>
        <w:tab w:val="right" w:pos="9360"/>
      </w:tabs>
    </w:pPr>
  </w:style>
  <w:style w:type="character" w:customStyle="1" w:styleId="HeaderChar">
    <w:name w:val="Header Char"/>
    <w:basedOn w:val="DefaultParagraphFont"/>
    <w:link w:val="Header"/>
    <w:uiPriority w:val="99"/>
    <w:rsid w:val="00DE0F8B"/>
  </w:style>
  <w:style w:type="paragraph" w:styleId="Footer">
    <w:name w:val="footer"/>
    <w:basedOn w:val="Normal"/>
    <w:link w:val="FooterChar"/>
    <w:uiPriority w:val="99"/>
    <w:unhideWhenUsed/>
    <w:rsid w:val="00DE0F8B"/>
    <w:pPr>
      <w:tabs>
        <w:tab w:val="center" w:pos="4680"/>
        <w:tab w:val="right" w:pos="9360"/>
      </w:tabs>
    </w:pPr>
  </w:style>
  <w:style w:type="character" w:customStyle="1" w:styleId="FooterChar">
    <w:name w:val="Footer Char"/>
    <w:basedOn w:val="DefaultParagraphFont"/>
    <w:link w:val="Footer"/>
    <w:uiPriority w:val="99"/>
    <w:rsid w:val="00DE0F8B"/>
  </w:style>
  <w:style w:type="character" w:customStyle="1" w:styleId="Heading1Char">
    <w:name w:val="Heading 1 Char"/>
    <w:basedOn w:val="DefaultParagraphFont"/>
    <w:link w:val="Heading1"/>
    <w:uiPriority w:val="9"/>
    <w:rsid w:val="003A1981"/>
    <w:rPr>
      <w:rFonts w:asciiTheme="majorHAnsi" w:eastAsiaTheme="majorEastAsia" w:hAnsiTheme="majorHAnsi" w:cstheme="majorBidi"/>
      <w:b/>
      <w:bCs/>
      <w:color w:val="2E74B5" w:themeColor="accent1" w:themeShade="BF"/>
      <w:sz w:val="28"/>
      <w:szCs w:val="28"/>
      <w:lang w:bidi="en-US"/>
    </w:rPr>
  </w:style>
  <w:style w:type="paragraph" w:styleId="Bibliography">
    <w:name w:val="Bibliography"/>
    <w:basedOn w:val="Normal"/>
    <w:next w:val="Normal"/>
    <w:uiPriority w:val="37"/>
    <w:unhideWhenUsed/>
    <w:rsid w:val="003A1981"/>
  </w:style>
  <w:style w:type="paragraph" w:styleId="FootnoteText">
    <w:name w:val="footnote text"/>
    <w:basedOn w:val="Normal"/>
    <w:link w:val="FootnoteTextChar"/>
    <w:uiPriority w:val="99"/>
    <w:unhideWhenUsed/>
    <w:rsid w:val="00EF0CDC"/>
  </w:style>
  <w:style w:type="character" w:customStyle="1" w:styleId="FootnoteTextChar">
    <w:name w:val="Footnote Text Char"/>
    <w:basedOn w:val="DefaultParagraphFont"/>
    <w:link w:val="FootnoteText"/>
    <w:uiPriority w:val="99"/>
    <w:rsid w:val="00EF0CDC"/>
  </w:style>
  <w:style w:type="character" w:styleId="FootnoteReference">
    <w:name w:val="footnote reference"/>
    <w:basedOn w:val="DefaultParagraphFont"/>
    <w:uiPriority w:val="99"/>
    <w:unhideWhenUsed/>
    <w:rsid w:val="00EF0CDC"/>
    <w:rPr>
      <w:vertAlign w:val="superscript"/>
    </w:rPr>
  </w:style>
  <w:style w:type="character" w:styleId="PageNumber">
    <w:name w:val="page number"/>
    <w:basedOn w:val="DefaultParagraphFont"/>
    <w:uiPriority w:val="99"/>
    <w:semiHidden/>
    <w:unhideWhenUsed/>
    <w:rsid w:val="008532AC"/>
  </w:style>
  <w:style w:type="character" w:styleId="Hyperlink">
    <w:name w:val="Hyperlink"/>
    <w:basedOn w:val="DefaultParagraphFont"/>
    <w:uiPriority w:val="99"/>
    <w:unhideWhenUsed/>
    <w:rsid w:val="009717B5"/>
    <w:rPr>
      <w:color w:val="0563C1" w:themeColor="hyperlink"/>
      <w:u w:val="single"/>
    </w:rPr>
  </w:style>
  <w:style w:type="paragraph" w:styleId="EndnoteText">
    <w:name w:val="endnote text"/>
    <w:basedOn w:val="Normal"/>
    <w:link w:val="EndnoteTextChar"/>
    <w:uiPriority w:val="99"/>
    <w:unhideWhenUsed/>
    <w:rsid w:val="003E2A30"/>
  </w:style>
  <w:style w:type="character" w:customStyle="1" w:styleId="EndnoteTextChar">
    <w:name w:val="Endnote Text Char"/>
    <w:basedOn w:val="DefaultParagraphFont"/>
    <w:link w:val="EndnoteText"/>
    <w:uiPriority w:val="99"/>
    <w:rsid w:val="003E2A30"/>
  </w:style>
  <w:style w:type="character" w:styleId="EndnoteReference">
    <w:name w:val="endnote reference"/>
    <w:basedOn w:val="DefaultParagraphFont"/>
    <w:uiPriority w:val="99"/>
    <w:unhideWhenUsed/>
    <w:rsid w:val="003E2A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6782">
      <w:bodyDiv w:val="1"/>
      <w:marLeft w:val="0"/>
      <w:marRight w:val="0"/>
      <w:marTop w:val="0"/>
      <w:marBottom w:val="0"/>
      <w:divBdr>
        <w:top w:val="none" w:sz="0" w:space="0" w:color="auto"/>
        <w:left w:val="none" w:sz="0" w:space="0" w:color="auto"/>
        <w:bottom w:val="none" w:sz="0" w:space="0" w:color="auto"/>
        <w:right w:val="none" w:sz="0" w:space="0" w:color="auto"/>
      </w:divBdr>
    </w:div>
    <w:div w:id="83844535">
      <w:bodyDiv w:val="1"/>
      <w:marLeft w:val="0"/>
      <w:marRight w:val="0"/>
      <w:marTop w:val="0"/>
      <w:marBottom w:val="0"/>
      <w:divBdr>
        <w:top w:val="none" w:sz="0" w:space="0" w:color="auto"/>
        <w:left w:val="none" w:sz="0" w:space="0" w:color="auto"/>
        <w:bottom w:val="none" w:sz="0" w:space="0" w:color="auto"/>
        <w:right w:val="none" w:sz="0" w:space="0" w:color="auto"/>
      </w:divBdr>
    </w:div>
    <w:div w:id="135922388">
      <w:bodyDiv w:val="1"/>
      <w:marLeft w:val="0"/>
      <w:marRight w:val="0"/>
      <w:marTop w:val="0"/>
      <w:marBottom w:val="0"/>
      <w:divBdr>
        <w:top w:val="none" w:sz="0" w:space="0" w:color="auto"/>
        <w:left w:val="none" w:sz="0" w:space="0" w:color="auto"/>
        <w:bottom w:val="none" w:sz="0" w:space="0" w:color="auto"/>
        <w:right w:val="none" w:sz="0" w:space="0" w:color="auto"/>
      </w:divBdr>
    </w:div>
    <w:div w:id="224149105">
      <w:bodyDiv w:val="1"/>
      <w:marLeft w:val="0"/>
      <w:marRight w:val="0"/>
      <w:marTop w:val="0"/>
      <w:marBottom w:val="0"/>
      <w:divBdr>
        <w:top w:val="none" w:sz="0" w:space="0" w:color="auto"/>
        <w:left w:val="none" w:sz="0" w:space="0" w:color="auto"/>
        <w:bottom w:val="none" w:sz="0" w:space="0" w:color="auto"/>
        <w:right w:val="none" w:sz="0" w:space="0" w:color="auto"/>
      </w:divBdr>
    </w:div>
    <w:div w:id="307587312">
      <w:bodyDiv w:val="1"/>
      <w:marLeft w:val="0"/>
      <w:marRight w:val="0"/>
      <w:marTop w:val="0"/>
      <w:marBottom w:val="0"/>
      <w:divBdr>
        <w:top w:val="none" w:sz="0" w:space="0" w:color="auto"/>
        <w:left w:val="none" w:sz="0" w:space="0" w:color="auto"/>
        <w:bottom w:val="none" w:sz="0" w:space="0" w:color="auto"/>
        <w:right w:val="none" w:sz="0" w:space="0" w:color="auto"/>
      </w:divBdr>
    </w:div>
    <w:div w:id="502167552">
      <w:bodyDiv w:val="1"/>
      <w:marLeft w:val="0"/>
      <w:marRight w:val="0"/>
      <w:marTop w:val="0"/>
      <w:marBottom w:val="0"/>
      <w:divBdr>
        <w:top w:val="none" w:sz="0" w:space="0" w:color="auto"/>
        <w:left w:val="none" w:sz="0" w:space="0" w:color="auto"/>
        <w:bottom w:val="none" w:sz="0" w:space="0" w:color="auto"/>
        <w:right w:val="none" w:sz="0" w:space="0" w:color="auto"/>
      </w:divBdr>
    </w:div>
    <w:div w:id="647125570">
      <w:bodyDiv w:val="1"/>
      <w:marLeft w:val="0"/>
      <w:marRight w:val="0"/>
      <w:marTop w:val="0"/>
      <w:marBottom w:val="0"/>
      <w:divBdr>
        <w:top w:val="none" w:sz="0" w:space="0" w:color="auto"/>
        <w:left w:val="none" w:sz="0" w:space="0" w:color="auto"/>
        <w:bottom w:val="none" w:sz="0" w:space="0" w:color="auto"/>
        <w:right w:val="none" w:sz="0" w:space="0" w:color="auto"/>
      </w:divBdr>
    </w:div>
    <w:div w:id="836261307">
      <w:bodyDiv w:val="1"/>
      <w:marLeft w:val="0"/>
      <w:marRight w:val="0"/>
      <w:marTop w:val="0"/>
      <w:marBottom w:val="0"/>
      <w:divBdr>
        <w:top w:val="none" w:sz="0" w:space="0" w:color="auto"/>
        <w:left w:val="none" w:sz="0" w:space="0" w:color="auto"/>
        <w:bottom w:val="none" w:sz="0" w:space="0" w:color="auto"/>
        <w:right w:val="none" w:sz="0" w:space="0" w:color="auto"/>
      </w:divBdr>
    </w:div>
    <w:div w:id="903565510">
      <w:bodyDiv w:val="1"/>
      <w:marLeft w:val="0"/>
      <w:marRight w:val="0"/>
      <w:marTop w:val="0"/>
      <w:marBottom w:val="0"/>
      <w:divBdr>
        <w:top w:val="none" w:sz="0" w:space="0" w:color="auto"/>
        <w:left w:val="none" w:sz="0" w:space="0" w:color="auto"/>
        <w:bottom w:val="none" w:sz="0" w:space="0" w:color="auto"/>
        <w:right w:val="none" w:sz="0" w:space="0" w:color="auto"/>
      </w:divBdr>
    </w:div>
    <w:div w:id="925191532">
      <w:bodyDiv w:val="1"/>
      <w:marLeft w:val="0"/>
      <w:marRight w:val="0"/>
      <w:marTop w:val="0"/>
      <w:marBottom w:val="0"/>
      <w:divBdr>
        <w:top w:val="none" w:sz="0" w:space="0" w:color="auto"/>
        <w:left w:val="none" w:sz="0" w:space="0" w:color="auto"/>
        <w:bottom w:val="none" w:sz="0" w:space="0" w:color="auto"/>
        <w:right w:val="none" w:sz="0" w:space="0" w:color="auto"/>
      </w:divBdr>
    </w:div>
    <w:div w:id="1239245005">
      <w:bodyDiv w:val="1"/>
      <w:marLeft w:val="0"/>
      <w:marRight w:val="0"/>
      <w:marTop w:val="0"/>
      <w:marBottom w:val="0"/>
      <w:divBdr>
        <w:top w:val="none" w:sz="0" w:space="0" w:color="auto"/>
        <w:left w:val="none" w:sz="0" w:space="0" w:color="auto"/>
        <w:bottom w:val="none" w:sz="0" w:space="0" w:color="auto"/>
        <w:right w:val="none" w:sz="0" w:space="0" w:color="auto"/>
      </w:divBdr>
    </w:div>
    <w:div w:id="1310671283">
      <w:bodyDiv w:val="1"/>
      <w:marLeft w:val="0"/>
      <w:marRight w:val="0"/>
      <w:marTop w:val="0"/>
      <w:marBottom w:val="0"/>
      <w:divBdr>
        <w:top w:val="none" w:sz="0" w:space="0" w:color="auto"/>
        <w:left w:val="none" w:sz="0" w:space="0" w:color="auto"/>
        <w:bottom w:val="none" w:sz="0" w:space="0" w:color="auto"/>
        <w:right w:val="none" w:sz="0" w:space="0" w:color="auto"/>
      </w:divBdr>
    </w:div>
    <w:div w:id="1434399491">
      <w:bodyDiv w:val="1"/>
      <w:marLeft w:val="0"/>
      <w:marRight w:val="0"/>
      <w:marTop w:val="0"/>
      <w:marBottom w:val="0"/>
      <w:divBdr>
        <w:top w:val="none" w:sz="0" w:space="0" w:color="auto"/>
        <w:left w:val="none" w:sz="0" w:space="0" w:color="auto"/>
        <w:bottom w:val="none" w:sz="0" w:space="0" w:color="auto"/>
        <w:right w:val="none" w:sz="0" w:space="0" w:color="auto"/>
      </w:divBdr>
    </w:div>
    <w:div w:id="1441334947">
      <w:bodyDiv w:val="1"/>
      <w:marLeft w:val="0"/>
      <w:marRight w:val="0"/>
      <w:marTop w:val="0"/>
      <w:marBottom w:val="0"/>
      <w:divBdr>
        <w:top w:val="none" w:sz="0" w:space="0" w:color="auto"/>
        <w:left w:val="none" w:sz="0" w:space="0" w:color="auto"/>
        <w:bottom w:val="none" w:sz="0" w:space="0" w:color="auto"/>
        <w:right w:val="none" w:sz="0" w:space="0" w:color="auto"/>
      </w:divBdr>
    </w:div>
    <w:div w:id="1472015072">
      <w:bodyDiv w:val="1"/>
      <w:marLeft w:val="0"/>
      <w:marRight w:val="0"/>
      <w:marTop w:val="0"/>
      <w:marBottom w:val="0"/>
      <w:divBdr>
        <w:top w:val="none" w:sz="0" w:space="0" w:color="auto"/>
        <w:left w:val="none" w:sz="0" w:space="0" w:color="auto"/>
        <w:bottom w:val="none" w:sz="0" w:space="0" w:color="auto"/>
        <w:right w:val="none" w:sz="0" w:space="0" w:color="auto"/>
      </w:divBdr>
    </w:div>
    <w:div w:id="1537085621">
      <w:bodyDiv w:val="1"/>
      <w:marLeft w:val="0"/>
      <w:marRight w:val="0"/>
      <w:marTop w:val="0"/>
      <w:marBottom w:val="0"/>
      <w:divBdr>
        <w:top w:val="none" w:sz="0" w:space="0" w:color="auto"/>
        <w:left w:val="none" w:sz="0" w:space="0" w:color="auto"/>
        <w:bottom w:val="none" w:sz="0" w:space="0" w:color="auto"/>
        <w:right w:val="none" w:sz="0" w:space="0" w:color="auto"/>
      </w:divBdr>
    </w:div>
    <w:div w:id="1644501811">
      <w:bodyDiv w:val="1"/>
      <w:marLeft w:val="0"/>
      <w:marRight w:val="0"/>
      <w:marTop w:val="0"/>
      <w:marBottom w:val="0"/>
      <w:divBdr>
        <w:top w:val="none" w:sz="0" w:space="0" w:color="auto"/>
        <w:left w:val="none" w:sz="0" w:space="0" w:color="auto"/>
        <w:bottom w:val="none" w:sz="0" w:space="0" w:color="auto"/>
        <w:right w:val="none" w:sz="0" w:space="0" w:color="auto"/>
      </w:divBdr>
    </w:div>
    <w:div w:id="1733235873">
      <w:bodyDiv w:val="1"/>
      <w:marLeft w:val="0"/>
      <w:marRight w:val="0"/>
      <w:marTop w:val="0"/>
      <w:marBottom w:val="0"/>
      <w:divBdr>
        <w:top w:val="none" w:sz="0" w:space="0" w:color="auto"/>
        <w:left w:val="none" w:sz="0" w:space="0" w:color="auto"/>
        <w:bottom w:val="none" w:sz="0" w:space="0" w:color="auto"/>
        <w:right w:val="none" w:sz="0" w:space="0" w:color="auto"/>
      </w:divBdr>
    </w:div>
    <w:div w:id="1850365524">
      <w:bodyDiv w:val="1"/>
      <w:marLeft w:val="0"/>
      <w:marRight w:val="0"/>
      <w:marTop w:val="0"/>
      <w:marBottom w:val="0"/>
      <w:divBdr>
        <w:top w:val="none" w:sz="0" w:space="0" w:color="auto"/>
        <w:left w:val="none" w:sz="0" w:space="0" w:color="auto"/>
        <w:bottom w:val="none" w:sz="0" w:space="0" w:color="auto"/>
        <w:right w:val="none" w:sz="0" w:space="0" w:color="auto"/>
      </w:divBdr>
    </w:div>
    <w:div w:id="1876311980">
      <w:bodyDiv w:val="1"/>
      <w:marLeft w:val="0"/>
      <w:marRight w:val="0"/>
      <w:marTop w:val="0"/>
      <w:marBottom w:val="0"/>
      <w:divBdr>
        <w:top w:val="none" w:sz="0" w:space="0" w:color="auto"/>
        <w:left w:val="none" w:sz="0" w:space="0" w:color="auto"/>
        <w:bottom w:val="none" w:sz="0" w:space="0" w:color="auto"/>
        <w:right w:val="none" w:sz="0" w:space="0" w:color="auto"/>
      </w:divBdr>
    </w:div>
    <w:div w:id="1992978938">
      <w:bodyDiv w:val="1"/>
      <w:marLeft w:val="0"/>
      <w:marRight w:val="0"/>
      <w:marTop w:val="0"/>
      <w:marBottom w:val="0"/>
      <w:divBdr>
        <w:top w:val="none" w:sz="0" w:space="0" w:color="auto"/>
        <w:left w:val="none" w:sz="0" w:space="0" w:color="auto"/>
        <w:bottom w:val="none" w:sz="0" w:space="0" w:color="auto"/>
        <w:right w:val="none" w:sz="0" w:space="0" w:color="auto"/>
      </w:divBdr>
    </w:div>
    <w:div w:id="2007971559">
      <w:bodyDiv w:val="1"/>
      <w:marLeft w:val="0"/>
      <w:marRight w:val="0"/>
      <w:marTop w:val="0"/>
      <w:marBottom w:val="0"/>
      <w:divBdr>
        <w:top w:val="none" w:sz="0" w:space="0" w:color="auto"/>
        <w:left w:val="none" w:sz="0" w:space="0" w:color="auto"/>
        <w:bottom w:val="none" w:sz="0" w:space="0" w:color="auto"/>
        <w:right w:val="none" w:sz="0" w:space="0" w:color="auto"/>
      </w:divBdr>
    </w:div>
    <w:div w:id="2015373699">
      <w:bodyDiv w:val="1"/>
      <w:marLeft w:val="0"/>
      <w:marRight w:val="0"/>
      <w:marTop w:val="0"/>
      <w:marBottom w:val="0"/>
      <w:divBdr>
        <w:top w:val="none" w:sz="0" w:space="0" w:color="auto"/>
        <w:left w:val="none" w:sz="0" w:space="0" w:color="auto"/>
        <w:bottom w:val="none" w:sz="0" w:space="0" w:color="auto"/>
        <w:right w:val="none" w:sz="0" w:space="0" w:color="auto"/>
      </w:divBdr>
    </w:div>
    <w:div w:id="2019498255">
      <w:bodyDiv w:val="1"/>
      <w:marLeft w:val="0"/>
      <w:marRight w:val="0"/>
      <w:marTop w:val="0"/>
      <w:marBottom w:val="0"/>
      <w:divBdr>
        <w:top w:val="none" w:sz="0" w:space="0" w:color="auto"/>
        <w:left w:val="none" w:sz="0" w:space="0" w:color="auto"/>
        <w:bottom w:val="none" w:sz="0" w:space="0" w:color="auto"/>
        <w:right w:val="none" w:sz="0" w:space="0" w:color="auto"/>
      </w:divBdr>
    </w:div>
    <w:div w:id="2042169576">
      <w:bodyDiv w:val="1"/>
      <w:marLeft w:val="0"/>
      <w:marRight w:val="0"/>
      <w:marTop w:val="0"/>
      <w:marBottom w:val="0"/>
      <w:divBdr>
        <w:top w:val="none" w:sz="0" w:space="0" w:color="auto"/>
        <w:left w:val="none" w:sz="0" w:space="0" w:color="auto"/>
        <w:bottom w:val="none" w:sz="0" w:space="0" w:color="auto"/>
        <w:right w:val="none" w:sz="0" w:space="0" w:color="auto"/>
      </w:divBdr>
    </w:div>
    <w:div w:id="20482174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medialawyer.press.net/article.jsp?id=19756901"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3E16B44A7DD843B9AE49668B1609F9"/>
        <w:category>
          <w:name w:val="General"/>
          <w:gallery w:val="placeholder"/>
        </w:category>
        <w:types>
          <w:type w:val="bbPlcHdr"/>
        </w:types>
        <w:behaviors>
          <w:behavior w:val="content"/>
        </w:behaviors>
        <w:guid w:val="{5AD756DF-93B4-0A4A-92F7-AFA5C8F9FB15}"/>
      </w:docPartPr>
      <w:docPartBody>
        <w:p w:rsidR="00000000" w:rsidRDefault="005175CC" w:rsidP="005175CC">
          <w:pPr>
            <w:pStyle w:val="953E16B44A7DD843B9AE49668B1609F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CC"/>
    <w:rsid w:val="005175CC"/>
    <w:rsid w:val="00732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772F968E59A041BDC73924D513CF34">
    <w:name w:val="A2772F968E59A041BDC73924D513CF34"/>
    <w:rsid w:val="005175CC"/>
  </w:style>
  <w:style w:type="paragraph" w:customStyle="1" w:styleId="953E16B44A7DD843B9AE49668B1609F9">
    <w:name w:val="953E16B44A7DD843B9AE49668B1609F9"/>
    <w:rsid w:val="00517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b:Source>
    <b:Tag>Qui18</b:Tag>
    <b:SourceType>Book</b:SourceType>
    <b:Guid>{AA95917B-9E85-3C4B-A97B-68516EE6F5F6}</b:Guid>
    <b:Title>Law for Journalist; A guide to media law</b:Title>
    <b:Publisher>Pearson</b:Publisher>
    <b:City>Harlow</b:City>
    <b:Year>2018</b:Year>
    <b:Author>
      <b:Author>
        <b:NameList>
          <b:Person>
            <b:Last>Quinn</b:Last>
            <b:First>Frances</b:First>
          </b:Person>
        </b:NameList>
      </b:Author>
    </b:Author>
    <b:Edition>6</b:Edition>
    <b:RefOrder>1</b:RefOrder>
  </b:Source>
  <b:Source>
    <b:Tag>Blo111</b:Tag>
    <b:SourceType>Book</b:SourceType>
    <b:Guid>{47C92478-1991-4F4E-9A6A-191B8E7D4000}</b:Guid>
    <b:Author>
      <b:Author>
        <b:NameList>
          <b:Person>
            <b:Last>Bloy</b:Last>
            <b:First>D.</b:First>
          </b:Person>
          <b:Person>
            <b:Last>Hadwin</b:Last>
            <b:First>S.</b:First>
          </b:Person>
        </b:NameList>
      </b:Author>
    </b:Author>
    <b:Title>Law and Media; for print, broadcast and online journalism</b:Title>
    <b:City>London</b:City>
    <b:Publisher>Sweet &amp; Maxwell</b:Publisher>
    <b:Year>2011</b:Year>
    <b:Edition>2</b:Edition>
    <b:RefOrder>2</b:RefOrder>
  </b:Source>
  <b:Source>
    <b:Tag>Blo181</b:Tag>
    <b:SourceType>Report</b:SourceType>
    <b:Guid>{DEAE455F-3749-2A40-86E6-613A4756AA46}</b:Guid>
    <b:Title>Guidance Notes</b:Title>
    <b:City>Cardiff</b:City>
    <b:Publisher>Cardiff University, School of Journalism, Media and Culture</b:Publisher>
    <b:Year>2018</b:Year>
    <b:Author>
      <b:Author>
        <b:NameList>
          <b:Person>
            <b:Last>Bloy</b:Last>
            <b:First>D.</b:First>
          </b:Person>
        </b:NameList>
      </b:Author>
    </b:Author>
    <b:RefOrder>3</b:RefOrder>
  </b:Source>
  <b:Source>
    <b:Tag>Blo182</b:Tag>
    <b:SourceType>Report</b:SourceType>
    <b:Guid>{995B0BEA-E134-B046-B133-5EA4A2F7EAFA}</b:Guid>
    <b:Author>
      <b:Author>
        <b:NameList>
          <b:Person>
            <b:Last>Bloy</b:Last>
            <b:First>D</b:First>
          </b:Person>
        </b:NameList>
      </b:Author>
    </b:Author>
    <b:Title>Lecture Notes</b:Title>
    <b:Publisher>Cardiff University, School of Journalism, Media and Culture</b:Publisher>
    <b:City>Cardiff</b:City>
    <b:Year>2018</b:Year>
    <b:RefOrder>4</b:RefOrder>
  </b:Source>
  <b:Source>
    <b:Tag>Tru18</b:Tag>
    <b:SourceType>Case</b:SourceType>
    <b:Guid>{D2EF6563-A3F1-D84F-A8B3-50BAB36DBE69}</b:Guid>
    <b:Title>Trump v Clifford</b:Title>
    <b:Year>2018</b:Year>
    <b:RefOrder>5</b:RefOrder>
  </b:Source>
  <b:Source>
    <b:Tag>Eco18</b:Tag>
    <b:SourceType>Case</b:SourceType>
    <b:Guid>{9B76A2FB-19B7-0D43-80C6-FE860D3C61BD}</b:Guid>
    <b:Title>Economou v de Freita</b:Title>
    <b:Year>2018</b:Year>
    <b:RefOrder>6</b:RefOrder>
  </b:Source>
  <b:Source>
    <b:Tag>The68</b:Tag>
    <b:SourceType>Case</b:SourceType>
    <b:Guid>{3DEC84B7-9F4B-934F-AB70-70A0121D67CA}</b:Guid>
    <b:Title>Theaters Act</b:Title>
    <b:Year>1968</b:Year>
    <b:RefOrder>7</b:RefOrder>
  </b:Source>
  <b:Source>
    <b:Tag>Bro90</b:Tag>
    <b:SourceType>Case</b:SourceType>
    <b:Guid>{73E8F764-C2F3-284C-9BF7-B49F066CCEF9}</b:Guid>
    <b:Title>Broadcasting Act</b:Title>
    <b:Year>1990</b:Year>
    <b:RefOrder>8</b:RefOrder>
  </b:Source>
  <b:Source>
    <b:Tag>Med18</b:Tag>
    <b:SourceType>InternetSite</b:SourceType>
    <b:Guid>{1FDE9EF5-384C-1E47-B8F6-CEF340D6869E}</b:Guid>
    <b:Title>Media Lawyer</b:Title>
    <b:Year>2018</b:Year>
    <b:URL>http://medialawyer.press.net/article.jsp?id=19756901</b:URL>
    <b:YearAccessed>2018</b:YearAccessed>
    <b:MonthAccessed>Decemeber</b:MonthAccessed>
    <b:DayAccessed>5</b:DayAccessed>
    <b:RefOrder>9</b:RefOrder>
  </b:Source>
</b:Sources>
</file>

<file path=customXml/itemProps1.xml><?xml version="1.0" encoding="utf-8"?>
<ds:datastoreItem xmlns:ds="http://schemas.openxmlformats.org/officeDocument/2006/customXml" ds:itemID="{04316F1C-0A45-8744-BCFF-57B10F98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7564</Characters>
  <Application>Microsoft Macintosh Word</Application>
  <DocSecurity>0</DocSecurity>
  <Lines>63</Lines>
  <Paragraphs>17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vt:lpstr/>
      <vt:lpstr/>
      <vt:lpstr/>
      <vt:lpstr/>
      <vt:lpstr>Bibliography </vt:lpstr>
      <vt:lpstr>Media Lawyer [online]. Available at: http://medialawyer.press.net/article.jsp?id</vt:lpstr>
    </vt:vector>
  </TitlesOfParts>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Axelson</dc:creator>
  <cp:keywords/>
  <dc:description/>
  <cp:lastModifiedBy>Gabriella Axelson</cp:lastModifiedBy>
  <cp:revision>3</cp:revision>
  <dcterms:created xsi:type="dcterms:W3CDTF">2018-12-07T03:00:00Z</dcterms:created>
  <dcterms:modified xsi:type="dcterms:W3CDTF">2018-12-07T03:00:00Z</dcterms:modified>
</cp:coreProperties>
</file>